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9D4115" w:rsidTr="006A61DF">
        <w:trPr>
          <w:trHeight w:val="1049"/>
        </w:trPr>
        <w:tc>
          <w:tcPr>
            <w:tcW w:w="8099" w:type="dxa"/>
            <w:tcMar>
              <w:top w:w="0" w:type="dxa"/>
              <w:left w:w="0" w:type="dxa"/>
              <w:bottom w:w="0" w:type="dxa"/>
              <w:right w:w="0" w:type="dxa"/>
            </w:tcMar>
          </w:tcPr>
          <w:p w:rsidR="00E950B0" w:rsidRPr="009D4115"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126" w:type="dxa"/>
            <w:tcMar>
              <w:top w:w="0" w:type="dxa"/>
              <w:left w:w="0" w:type="dxa"/>
              <w:bottom w:w="0" w:type="dxa"/>
              <w:right w:w="0" w:type="dxa"/>
            </w:tcMar>
          </w:tcPr>
          <w:p w:rsidR="00E950B0" w:rsidRPr="009D4115" w:rsidRDefault="00E950B0" w:rsidP="004B239B">
            <w:pPr>
              <w:tabs>
                <w:tab w:val="center" w:pos="4513"/>
                <w:tab w:val="right" w:pos="9026"/>
              </w:tabs>
              <w:jc w:val="left"/>
              <w:rPr>
                <w:lang w:val="en-US"/>
              </w:rPr>
            </w:pPr>
          </w:p>
        </w:tc>
      </w:tr>
      <w:tr w:rsidR="004B239B" w:rsidRPr="009D4115" w:rsidTr="001E2E86">
        <w:trPr>
          <w:trHeight w:val="2075"/>
        </w:trPr>
        <w:tc>
          <w:tcPr>
            <w:tcW w:w="8099" w:type="dxa"/>
            <w:tcMar>
              <w:top w:w="0" w:type="dxa"/>
              <w:left w:w="0" w:type="dxa"/>
              <w:bottom w:w="0" w:type="dxa"/>
              <w:right w:w="0" w:type="dxa"/>
            </w:tcMar>
          </w:tcPr>
          <w:p w:rsidR="00DB6801" w:rsidRPr="009D4115" w:rsidRDefault="00DB6801" w:rsidP="00DB6801">
            <w:pPr>
              <w:jc w:val="left"/>
              <w:rPr>
                <w:b/>
                <w:bCs/>
                <w:sz w:val="40"/>
                <w:szCs w:val="40"/>
                <w:lang w:val="en-US"/>
              </w:rPr>
            </w:pPr>
            <w:r w:rsidRPr="009D4115">
              <w:rPr>
                <w:rFonts w:cs="Arial"/>
                <w:b/>
                <w:color w:val="000000"/>
                <w:sz w:val="40"/>
                <w:lang w:val="en-US"/>
              </w:rPr>
              <w:t>CHG-MERIDIAN AG steps up the pace of growth in the third quarter of 2016</w:t>
            </w:r>
          </w:p>
          <w:p w:rsidR="004B239B" w:rsidRPr="009D4115" w:rsidRDefault="004B239B" w:rsidP="0022572B">
            <w:pPr>
              <w:tabs>
                <w:tab w:val="left" w:pos="3270"/>
              </w:tabs>
              <w:jc w:val="left"/>
              <w:rPr>
                <w:lang w:val="en-US"/>
              </w:rPr>
            </w:pPr>
          </w:p>
        </w:tc>
        <w:tc>
          <w:tcPr>
            <w:tcW w:w="2126" w:type="dxa"/>
            <w:tcMar>
              <w:top w:w="0" w:type="dxa"/>
              <w:left w:w="0" w:type="dxa"/>
              <w:bottom w:w="0" w:type="dxa"/>
              <w:right w:w="0" w:type="dxa"/>
            </w:tcMar>
          </w:tcPr>
          <w:p w:rsidR="004B239B" w:rsidRPr="009D4115" w:rsidRDefault="004B239B" w:rsidP="004B239B">
            <w:pPr>
              <w:tabs>
                <w:tab w:val="center" w:pos="4513"/>
                <w:tab w:val="right" w:pos="9026"/>
              </w:tabs>
              <w:jc w:val="left"/>
              <w:rPr>
                <w:lang w:val="en-US"/>
              </w:rPr>
            </w:pPr>
          </w:p>
        </w:tc>
      </w:tr>
      <w:tr w:rsidR="004B239B" w:rsidRPr="009D4115" w:rsidTr="00E950B0">
        <w:trPr>
          <w:trHeight w:val="2398"/>
        </w:trPr>
        <w:tc>
          <w:tcPr>
            <w:tcW w:w="8099" w:type="dxa"/>
            <w:tcMar>
              <w:top w:w="0" w:type="dxa"/>
              <w:left w:w="0" w:type="dxa"/>
              <w:bottom w:w="0" w:type="dxa"/>
              <w:right w:w="0" w:type="dxa"/>
            </w:tcMar>
          </w:tcPr>
          <w:p w:rsidR="00DB6801" w:rsidRPr="009D4115" w:rsidRDefault="00DB6801" w:rsidP="00DB6801">
            <w:pPr>
              <w:pStyle w:val="AufzhlungspunkteCHG-MERIDIAN"/>
              <w:rPr>
                <w:sz w:val="24"/>
                <w:lang w:val="en-US" w:bidi="de-DE"/>
              </w:rPr>
            </w:pPr>
            <w:r w:rsidRPr="009D4115">
              <w:rPr>
                <w:color w:val="000000"/>
                <w:sz w:val="24"/>
                <w:lang w:val="en-US"/>
              </w:rPr>
              <w:t>Moving up a gear: accelerated growth in lease originations</w:t>
            </w:r>
          </w:p>
          <w:p w:rsidR="00DB6801" w:rsidRPr="009D4115" w:rsidRDefault="00DB6801" w:rsidP="00DB6801">
            <w:pPr>
              <w:pStyle w:val="AufzhlungspunkteCHG-MERIDIAN"/>
              <w:rPr>
                <w:sz w:val="24"/>
                <w:lang w:val="en-US" w:bidi="de-DE"/>
              </w:rPr>
            </w:pPr>
            <w:r w:rsidRPr="009D4115">
              <w:rPr>
                <w:color w:val="000000"/>
                <w:sz w:val="24"/>
                <w:lang w:val="en-US"/>
              </w:rPr>
              <w:t>Security-conscious: strong demand for data erasure services</w:t>
            </w:r>
          </w:p>
          <w:p w:rsidR="00DB6801" w:rsidRPr="009D4115" w:rsidRDefault="00DB6801" w:rsidP="00DB6801">
            <w:pPr>
              <w:pStyle w:val="AufzhlungspunkteCHG-MERIDIAN"/>
              <w:rPr>
                <w:sz w:val="24"/>
                <w:lang w:val="en-US" w:bidi="de-DE"/>
              </w:rPr>
            </w:pPr>
            <w:r w:rsidRPr="009D4115">
              <w:rPr>
                <w:color w:val="000000"/>
                <w:sz w:val="24"/>
                <w:lang w:val="en-US"/>
              </w:rPr>
              <w:t>Innovative: Enterprise Mobility Solutions demonstrate their potential</w:t>
            </w:r>
          </w:p>
          <w:p w:rsidR="004B239B" w:rsidRPr="009D4115" w:rsidRDefault="004B239B" w:rsidP="006A61DF">
            <w:pPr>
              <w:spacing w:line="200" w:lineRule="exact"/>
              <w:rPr>
                <w:lang w:val="en-US"/>
              </w:rPr>
            </w:pPr>
          </w:p>
        </w:tc>
        <w:tc>
          <w:tcPr>
            <w:tcW w:w="2126" w:type="dxa"/>
            <w:tcMar>
              <w:top w:w="0" w:type="dxa"/>
              <w:left w:w="0" w:type="dxa"/>
              <w:bottom w:w="0" w:type="dxa"/>
              <w:right w:w="0" w:type="dxa"/>
            </w:tcMar>
          </w:tcPr>
          <w:p w:rsidR="00AA3DD5" w:rsidRPr="009D4115" w:rsidRDefault="00C34BA7" w:rsidP="00AA3DD5">
            <w:pPr>
              <w:tabs>
                <w:tab w:val="left" w:pos="709"/>
                <w:tab w:val="right" w:pos="2835"/>
              </w:tabs>
              <w:spacing w:line="200" w:lineRule="atLeast"/>
              <w:jc w:val="left"/>
              <w:rPr>
                <w:color w:val="auto"/>
                <w:sz w:val="14"/>
                <w:szCs w:val="14"/>
                <w:lang w:val="en-US"/>
              </w:rPr>
            </w:pPr>
            <w:r w:rsidRPr="009D4115">
              <w:rPr>
                <w:rFonts w:cs="Arial"/>
                <w:color w:val="auto"/>
                <w:sz w:val="14"/>
                <w:lang w:val="en-US"/>
              </w:rPr>
              <w:t>Your contact:</w:t>
            </w:r>
          </w:p>
          <w:p w:rsidR="004C79EB" w:rsidRPr="009D4115" w:rsidRDefault="004C79EB" w:rsidP="00AA3DD5">
            <w:pPr>
              <w:tabs>
                <w:tab w:val="left" w:pos="709"/>
                <w:tab w:val="right" w:pos="2835"/>
              </w:tabs>
              <w:spacing w:line="200" w:lineRule="atLeast"/>
              <w:jc w:val="left"/>
              <w:rPr>
                <w:color w:val="auto"/>
                <w:sz w:val="14"/>
                <w:szCs w:val="14"/>
                <w:lang w:val="en-US"/>
              </w:rPr>
            </w:pPr>
          </w:p>
          <w:p w:rsidR="00AA3DD5" w:rsidRPr="009D4115" w:rsidRDefault="00AA3DD5" w:rsidP="00AA3DD5">
            <w:pPr>
              <w:tabs>
                <w:tab w:val="left" w:pos="709"/>
                <w:tab w:val="right" w:pos="2835"/>
              </w:tabs>
              <w:spacing w:line="200" w:lineRule="atLeast"/>
              <w:jc w:val="left"/>
              <w:rPr>
                <w:color w:val="auto"/>
                <w:sz w:val="14"/>
                <w:szCs w:val="14"/>
                <w:lang w:val="en-US"/>
              </w:rPr>
            </w:pPr>
            <w:r w:rsidRPr="009D4115">
              <w:rPr>
                <w:rFonts w:cs="Arial"/>
                <w:color w:val="auto"/>
                <w:sz w:val="14"/>
                <w:lang w:val="en-US"/>
              </w:rPr>
              <w:t xml:space="preserve">Matthias Steybe </w:t>
            </w:r>
          </w:p>
          <w:p w:rsidR="00AA3DD5" w:rsidRPr="009D4115" w:rsidRDefault="00AA3DD5" w:rsidP="00AA3DD5">
            <w:pPr>
              <w:tabs>
                <w:tab w:val="left" w:pos="709"/>
                <w:tab w:val="right" w:pos="2835"/>
              </w:tabs>
              <w:spacing w:line="200" w:lineRule="atLeast"/>
              <w:jc w:val="left"/>
              <w:rPr>
                <w:color w:val="auto"/>
                <w:sz w:val="14"/>
                <w:szCs w:val="14"/>
                <w:lang w:val="en-US"/>
              </w:rPr>
            </w:pPr>
            <w:r w:rsidRPr="009D4115">
              <w:rPr>
                <w:rFonts w:cs="Arial"/>
                <w:color w:val="auto"/>
                <w:sz w:val="14"/>
                <w:lang w:val="en-US"/>
              </w:rPr>
              <w:t xml:space="preserve">Head of Communications </w:t>
            </w:r>
          </w:p>
          <w:p w:rsidR="00AA3DD5" w:rsidRPr="009D4115" w:rsidRDefault="00AA3DD5" w:rsidP="00AA3DD5">
            <w:pPr>
              <w:tabs>
                <w:tab w:val="left" w:pos="709"/>
                <w:tab w:val="right" w:pos="2835"/>
              </w:tabs>
              <w:spacing w:line="200" w:lineRule="atLeast"/>
              <w:jc w:val="left"/>
              <w:rPr>
                <w:color w:val="auto"/>
                <w:sz w:val="14"/>
                <w:szCs w:val="14"/>
                <w:lang w:val="en-US"/>
              </w:rPr>
            </w:pPr>
            <w:r w:rsidRPr="009D4115">
              <w:rPr>
                <w:rFonts w:cs="Arial"/>
                <w:color w:val="auto"/>
                <w:sz w:val="14"/>
                <w:lang w:val="en-US"/>
              </w:rPr>
              <w:t>and Marketing</w:t>
            </w:r>
          </w:p>
          <w:p w:rsidR="004B239B" w:rsidRPr="009D4115" w:rsidRDefault="004B239B" w:rsidP="004B239B">
            <w:pPr>
              <w:tabs>
                <w:tab w:val="center" w:pos="4513"/>
                <w:tab w:val="right" w:pos="9026"/>
              </w:tabs>
              <w:jc w:val="left"/>
              <w:rPr>
                <w:b/>
                <w:sz w:val="14"/>
                <w:szCs w:val="14"/>
                <w:lang w:val="en-US"/>
              </w:rPr>
            </w:pPr>
          </w:p>
          <w:p w:rsidR="004B239B" w:rsidRPr="009D4115" w:rsidRDefault="004B239B" w:rsidP="004B239B">
            <w:pPr>
              <w:tabs>
                <w:tab w:val="center" w:pos="4513"/>
                <w:tab w:val="right" w:pos="9026"/>
              </w:tabs>
              <w:jc w:val="left"/>
              <w:rPr>
                <w:sz w:val="14"/>
                <w:szCs w:val="14"/>
                <w:lang w:val="en-US"/>
              </w:rPr>
            </w:pPr>
          </w:p>
          <w:p w:rsidR="006A61DF" w:rsidRPr="009D4115" w:rsidRDefault="006A61DF" w:rsidP="006A61DF">
            <w:pPr>
              <w:tabs>
                <w:tab w:val="center" w:pos="4513"/>
                <w:tab w:val="right" w:pos="9026"/>
              </w:tabs>
              <w:jc w:val="left"/>
              <w:rPr>
                <w:sz w:val="14"/>
                <w:szCs w:val="14"/>
                <w:lang w:val="en-US"/>
              </w:rPr>
            </w:pPr>
          </w:p>
          <w:p w:rsidR="004B239B" w:rsidRPr="009D4115" w:rsidRDefault="004B239B" w:rsidP="004B239B">
            <w:pPr>
              <w:tabs>
                <w:tab w:val="center" w:pos="4513"/>
                <w:tab w:val="right" w:pos="9026"/>
              </w:tabs>
              <w:jc w:val="left"/>
              <w:rPr>
                <w:sz w:val="14"/>
                <w:szCs w:val="14"/>
                <w:lang w:val="en-US"/>
              </w:rPr>
            </w:pPr>
          </w:p>
        </w:tc>
      </w:tr>
      <w:tr w:rsidR="00547CF9" w:rsidRPr="009D4115" w:rsidTr="006A61DF">
        <w:trPr>
          <w:trHeight w:val="266"/>
        </w:trPr>
        <w:tc>
          <w:tcPr>
            <w:tcW w:w="8099" w:type="dxa"/>
            <w:tcMar>
              <w:top w:w="0" w:type="dxa"/>
              <w:left w:w="0" w:type="dxa"/>
              <w:bottom w:w="0" w:type="dxa"/>
              <w:right w:w="0" w:type="dxa"/>
            </w:tcMar>
          </w:tcPr>
          <w:p w:rsidR="00071754" w:rsidRPr="009D4115" w:rsidRDefault="00071754" w:rsidP="00305F30">
            <w:pPr>
              <w:tabs>
                <w:tab w:val="left" w:pos="3270"/>
              </w:tabs>
              <w:jc w:val="left"/>
              <w:rPr>
                <w:rFonts w:eastAsia="Calibri" w:cs="Times New Roman"/>
                <w:szCs w:val="22"/>
                <w:u w:val="single"/>
                <w:lang w:val="en-US"/>
              </w:rPr>
            </w:pPr>
            <w:r w:rsidRPr="009D4115">
              <w:rPr>
                <w:rFonts w:eastAsia="Calibri" w:cs="Times New Roman"/>
                <w:color w:val="000000"/>
                <w:u w:val="single"/>
                <w:lang w:val="en-US"/>
              </w:rPr>
              <w:t>Weingarten, October 27, 2016</w:t>
            </w:r>
          </w:p>
          <w:p w:rsidR="00305F30" w:rsidRPr="009D4115" w:rsidRDefault="00305F30" w:rsidP="00305F30">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rsidR="00AA3DD5" w:rsidRPr="009D4115" w:rsidRDefault="00C34BA7" w:rsidP="006A61DF">
            <w:pPr>
              <w:tabs>
                <w:tab w:val="left" w:pos="709"/>
                <w:tab w:val="right" w:pos="2835"/>
              </w:tabs>
              <w:spacing w:line="200" w:lineRule="atLeast"/>
              <w:jc w:val="left"/>
              <w:rPr>
                <w:color w:val="6F6F6E"/>
                <w:sz w:val="14"/>
                <w:szCs w:val="14"/>
                <w:lang w:val="en-US"/>
              </w:rPr>
            </w:pPr>
            <w:r w:rsidRPr="009D4115">
              <w:rPr>
                <w:rFonts w:cs="Arial"/>
                <w:color w:val="auto"/>
                <w:sz w:val="14"/>
                <w:lang w:val="en-US"/>
              </w:rPr>
              <w:t>Contact details:</w:t>
            </w:r>
          </w:p>
          <w:p w:rsidR="00AA3DD5" w:rsidRPr="009D4115" w:rsidRDefault="00AA3DD5" w:rsidP="006A61DF">
            <w:pPr>
              <w:tabs>
                <w:tab w:val="left" w:pos="709"/>
                <w:tab w:val="right" w:pos="2835"/>
              </w:tabs>
              <w:spacing w:line="200" w:lineRule="atLeast"/>
              <w:jc w:val="left"/>
              <w:rPr>
                <w:color w:val="auto"/>
                <w:sz w:val="14"/>
                <w:szCs w:val="14"/>
                <w:lang w:val="en-US"/>
              </w:rPr>
            </w:pP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Franz-Beer-Strasse 111</w:t>
            </w: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88250 Weingarten</w:t>
            </w:r>
            <w:r w:rsidRPr="009D4115">
              <w:rPr>
                <w:rFonts w:cs="Arial"/>
                <w:color w:val="auto"/>
                <w:sz w:val="14"/>
                <w:lang w:val="en-US"/>
              </w:rPr>
              <w:br/>
              <w:t>Germany</w:t>
            </w:r>
          </w:p>
          <w:p w:rsidR="006A61DF" w:rsidRPr="009D4115" w:rsidRDefault="006A61DF" w:rsidP="006A61DF">
            <w:pPr>
              <w:tabs>
                <w:tab w:val="left" w:pos="709"/>
                <w:tab w:val="right" w:pos="2835"/>
              </w:tabs>
              <w:spacing w:line="200" w:lineRule="atLeast"/>
              <w:jc w:val="left"/>
              <w:rPr>
                <w:color w:val="auto"/>
                <w:sz w:val="14"/>
                <w:szCs w:val="14"/>
                <w:lang w:val="en-US"/>
              </w:rPr>
            </w:pP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Tel: +49 (0)751 503 248</w:t>
            </w: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Fax: +49 (0)</w:t>
            </w:r>
            <w:r w:rsidRPr="009D4115">
              <w:rPr>
                <w:rFonts w:eastAsia="Calibri" w:cs="Times New Roman"/>
                <w:color w:val="auto"/>
                <w:sz w:val="14"/>
                <w:lang w:val="en-US"/>
              </w:rPr>
              <w:t>751</w:t>
            </w:r>
            <w:r w:rsidRPr="009D4115">
              <w:rPr>
                <w:rFonts w:cs="Arial"/>
                <w:color w:val="auto"/>
                <w:sz w:val="14"/>
                <w:lang w:val="en-US"/>
              </w:rPr>
              <w:t xml:space="preserve"> 503 7248</w:t>
            </w: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 xml:space="preserve">Cell: +49 (0)172 667 1341 </w:t>
            </w:r>
          </w:p>
          <w:p w:rsidR="006A61DF" w:rsidRPr="009D4115" w:rsidRDefault="00FC26CF" w:rsidP="006A61DF">
            <w:pPr>
              <w:tabs>
                <w:tab w:val="left" w:pos="709"/>
                <w:tab w:val="right" w:pos="2835"/>
              </w:tabs>
              <w:spacing w:line="200" w:lineRule="atLeast"/>
              <w:jc w:val="left"/>
              <w:rPr>
                <w:color w:val="auto"/>
                <w:sz w:val="14"/>
                <w:szCs w:val="14"/>
                <w:lang w:val="en-US"/>
              </w:rPr>
            </w:pPr>
            <w:hyperlink r:id="rId9" w:history="1">
              <w:r w:rsidR="00BC5EA4" w:rsidRPr="009D4115">
                <w:rPr>
                  <w:rFonts w:cs="Arial"/>
                  <w:color w:val="auto"/>
                  <w:sz w:val="14"/>
                  <w:lang w:val="en-US"/>
                </w:rPr>
                <w:t>matthias.steybe@chg-</w:t>
              </w:r>
            </w:hyperlink>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meridian.de</w:t>
            </w:r>
          </w:p>
          <w:p w:rsidR="006A61DF" w:rsidRPr="009D4115" w:rsidRDefault="006A61DF" w:rsidP="006A61DF">
            <w:pPr>
              <w:tabs>
                <w:tab w:val="left" w:pos="709"/>
                <w:tab w:val="right" w:pos="2835"/>
              </w:tabs>
              <w:spacing w:line="200" w:lineRule="atLeast"/>
              <w:jc w:val="left"/>
              <w:rPr>
                <w:color w:val="auto"/>
                <w:sz w:val="14"/>
                <w:szCs w:val="14"/>
                <w:lang w:val="en-US"/>
              </w:rPr>
            </w:pPr>
          </w:p>
          <w:p w:rsidR="006A61DF" w:rsidRPr="009D4115" w:rsidRDefault="006A61DF" w:rsidP="006A61DF">
            <w:pPr>
              <w:tabs>
                <w:tab w:val="left" w:pos="709"/>
                <w:tab w:val="right" w:pos="2835"/>
              </w:tabs>
              <w:spacing w:line="200" w:lineRule="atLeast"/>
              <w:jc w:val="left"/>
              <w:rPr>
                <w:color w:val="auto"/>
                <w:sz w:val="14"/>
                <w:szCs w:val="14"/>
                <w:lang w:val="en-US"/>
              </w:rPr>
            </w:pPr>
            <w:r w:rsidRPr="009D4115">
              <w:rPr>
                <w:rFonts w:cs="Arial"/>
                <w:color w:val="auto"/>
                <w:sz w:val="14"/>
                <w:lang w:val="en-US"/>
              </w:rPr>
              <w:t>www.chg-meridian.com</w:t>
            </w:r>
          </w:p>
          <w:p w:rsidR="00547CF9" w:rsidRPr="009D4115" w:rsidRDefault="00547CF9" w:rsidP="006A61DF">
            <w:pPr>
              <w:tabs>
                <w:tab w:val="center" w:pos="4513"/>
                <w:tab w:val="right" w:pos="9026"/>
              </w:tabs>
              <w:jc w:val="left"/>
              <w:rPr>
                <w:sz w:val="14"/>
                <w:szCs w:val="14"/>
                <w:lang w:val="en-US"/>
              </w:rPr>
            </w:pPr>
          </w:p>
        </w:tc>
      </w:tr>
      <w:tr w:rsidR="00547CF9" w:rsidRPr="009D4115" w:rsidTr="006A61DF">
        <w:trPr>
          <w:trHeight w:val="237"/>
        </w:trPr>
        <w:tc>
          <w:tcPr>
            <w:tcW w:w="8099" w:type="dxa"/>
            <w:tcMar>
              <w:top w:w="0" w:type="dxa"/>
              <w:left w:w="0" w:type="dxa"/>
              <w:bottom w:w="0" w:type="dxa"/>
              <w:right w:w="284" w:type="dxa"/>
            </w:tcMar>
          </w:tcPr>
          <w:p w:rsidR="00DB6801" w:rsidRPr="009D4115" w:rsidRDefault="00DB6801" w:rsidP="00DB6801">
            <w:pPr>
              <w:rPr>
                <w:lang w:val="en-US"/>
              </w:rPr>
            </w:pPr>
            <w:r w:rsidRPr="009D4115">
              <w:rPr>
                <w:rFonts w:cs="Arial"/>
                <w:color w:val="000000"/>
                <w:lang w:val="en-US"/>
              </w:rPr>
              <w:t>CHG-MERIDIAN AG, headquartered in Weingarten, southern Germany, saw its growth accelerate in the third quarter of 2016. The non-captive provider of efficient technology management and customized financing solutions saw the volume of lease originations rise to almost €815 million in the first nine months of 2016, a year-on-year increase of 13.4 percent (Q1–Q3 2015: €</w:t>
            </w:r>
            <w:r w:rsidRPr="009D4115">
              <w:rPr>
                <w:rFonts w:eastAsia="Times New Roman" w:cs="Arial"/>
                <w:color w:val="000000"/>
                <w:lang w:val="en-US"/>
              </w:rPr>
              <w:t xml:space="preserve">718 </w:t>
            </w:r>
            <w:r w:rsidRPr="009D4115">
              <w:rPr>
                <w:rFonts w:cs="Arial"/>
                <w:color w:val="000000"/>
                <w:lang w:val="en-US"/>
              </w:rPr>
              <w:t>million). "In view of this encouraging growth, we are confident about achieving our ambitious targets," says Jürgen Mossakowski, Chief Executive Officer of the CHG-MERIDIAN Group.</w:t>
            </w:r>
          </w:p>
          <w:p w:rsidR="00305F30" w:rsidRPr="009D4115" w:rsidRDefault="00305F30" w:rsidP="00071754">
            <w:pPr>
              <w:pStyle w:val="berschrift3"/>
              <w:outlineLvl w:val="2"/>
              <w:rPr>
                <w:lang w:val="en-US"/>
              </w:rPr>
            </w:pPr>
          </w:p>
          <w:p w:rsidR="00305F30" w:rsidRPr="009D4115" w:rsidRDefault="00DB6801" w:rsidP="00071754">
            <w:pPr>
              <w:rPr>
                <w:rFonts w:eastAsiaTheme="majorEastAsia" w:cstheme="majorBidi"/>
                <w:b/>
                <w:szCs w:val="28"/>
                <w:lang w:val="en-US"/>
              </w:rPr>
            </w:pPr>
            <w:r w:rsidRPr="009D4115">
              <w:rPr>
                <w:rFonts w:eastAsiaTheme="majorEastAsia" w:cs="Arial"/>
                <w:b/>
                <w:color w:val="000000"/>
                <w:lang w:val="en-US"/>
              </w:rPr>
              <w:t>Buoyant growth in the main markets</w:t>
            </w:r>
          </w:p>
          <w:p w:rsidR="00DB6801" w:rsidRPr="009D4115" w:rsidRDefault="00DB6801" w:rsidP="00071754">
            <w:pPr>
              <w:rPr>
                <w:rFonts w:eastAsiaTheme="majorEastAsia" w:cstheme="majorBidi"/>
                <w:b/>
                <w:szCs w:val="28"/>
                <w:lang w:val="en-US"/>
              </w:rPr>
            </w:pPr>
          </w:p>
          <w:p w:rsidR="00305F30" w:rsidRPr="009D4115" w:rsidRDefault="00DB6801" w:rsidP="00071754">
            <w:pPr>
              <w:rPr>
                <w:lang w:val="en-US"/>
              </w:rPr>
            </w:pPr>
            <w:r w:rsidRPr="009D4115">
              <w:rPr>
                <w:rFonts w:cs="Arial"/>
                <w:color w:val="000000"/>
                <w:lang w:val="en-US"/>
              </w:rPr>
              <w:t>CHG-MERIDIAN's growth was very positive in most European regions. In the Southern Europe region, the volume of leases originated was up by 31.6 percent compared with the prior-year period to €107 million (Q1–Q3 2015: €</w:t>
            </w:r>
            <w:r w:rsidRPr="009D4115">
              <w:rPr>
                <w:rFonts w:eastAsia="Times New Roman" w:cs="Arial"/>
                <w:color w:val="000000"/>
                <w:lang w:val="en-US"/>
              </w:rPr>
              <w:t xml:space="preserve">81 </w:t>
            </w:r>
            <w:r w:rsidRPr="009D4115">
              <w:rPr>
                <w:rFonts w:cs="Arial"/>
                <w:color w:val="000000"/>
                <w:lang w:val="en-US"/>
              </w:rPr>
              <w:t>million). The growth rate in the Western Europe region was 7.9 percent, with lease originations rising to €130 million (Q1–Q3 2015: €</w:t>
            </w:r>
            <w:r w:rsidRPr="009D4115">
              <w:rPr>
                <w:rFonts w:eastAsia="Times New Roman" w:cs="Arial"/>
                <w:color w:val="000000"/>
                <w:lang w:val="en-US"/>
              </w:rPr>
              <w:t xml:space="preserve">121 </w:t>
            </w:r>
            <w:r w:rsidRPr="009D4115">
              <w:rPr>
                <w:rFonts w:cs="Arial"/>
                <w:color w:val="000000"/>
                <w:lang w:val="en-US"/>
              </w:rPr>
              <w:t>million). Central Europe was the largest region by volume, with lease originations advancing by 12.3 percent to €427 million (Q1–Q3 2015: €</w:t>
            </w:r>
            <w:r w:rsidRPr="009D4115">
              <w:rPr>
                <w:rFonts w:eastAsia="Times New Roman" w:cs="Arial"/>
                <w:color w:val="000000"/>
                <w:lang w:val="en-US"/>
              </w:rPr>
              <w:t xml:space="preserve">380 </w:t>
            </w:r>
            <w:r w:rsidRPr="009D4115">
              <w:rPr>
                <w:rFonts w:cs="Arial"/>
                <w:color w:val="000000"/>
                <w:lang w:val="en-US"/>
              </w:rPr>
              <w:t xml:space="preserve">million). However, the volume of leases originated in the Northeastern Europe region fell slightly. </w:t>
            </w:r>
          </w:p>
          <w:p w:rsidR="00DB6801" w:rsidRPr="009D4115" w:rsidRDefault="00DB6801" w:rsidP="00071754">
            <w:pPr>
              <w:rPr>
                <w:lang w:val="en-US"/>
              </w:rPr>
            </w:pPr>
          </w:p>
          <w:p w:rsidR="00305F30" w:rsidRPr="009D4115" w:rsidRDefault="00DB6801" w:rsidP="00071754">
            <w:pPr>
              <w:rPr>
                <w:lang w:val="en-US"/>
              </w:rPr>
            </w:pPr>
            <w:r w:rsidRPr="009D4115">
              <w:rPr>
                <w:rFonts w:cs="Arial"/>
                <w:color w:val="000000"/>
                <w:lang w:val="en-US"/>
              </w:rPr>
              <w:t>There was also brisk growth in the Americas, where the volume of lease originations climbed by 24.8 percent to €115 million (Q1–Q3 2015: €</w:t>
            </w:r>
            <w:r w:rsidRPr="009D4115">
              <w:rPr>
                <w:rFonts w:eastAsia="Times New Roman" w:cs="Arial"/>
                <w:color w:val="000000"/>
                <w:lang w:val="en-US"/>
              </w:rPr>
              <w:t xml:space="preserve">92 </w:t>
            </w:r>
            <w:r w:rsidRPr="009D4115">
              <w:rPr>
                <w:rFonts w:cs="Arial"/>
                <w:color w:val="000000"/>
                <w:lang w:val="en-US"/>
              </w:rPr>
              <w:t>million). By contrast, gross profit for the business as a whole went down slightly, decreasing by 5.2 percent to just under €116 million (Q1–Q3 2015: €</w:t>
            </w:r>
            <w:r w:rsidRPr="009D4115">
              <w:rPr>
                <w:rFonts w:eastAsia="Times New Roman" w:cs="Arial"/>
                <w:color w:val="000000"/>
                <w:lang w:val="en-US"/>
              </w:rPr>
              <w:t xml:space="preserve">122 </w:t>
            </w:r>
            <w:r w:rsidRPr="009D4115">
              <w:rPr>
                <w:rFonts w:cs="Arial"/>
                <w:color w:val="000000"/>
                <w:lang w:val="en-US"/>
              </w:rPr>
              <w:t>million).</w:t>
            </w:r>
          </w:p>
          <w:p w:rsidR="00305F30" w:rsidRPr="009D4115" w:rsidRDefault="00305F30" w:rsidP="00305F30">
            <w:pPr>
              <w:rPr>
                <w:lang w:val="en-US"/>
              </w:rPr>
            </w:pPr>
          </w:p>
          <w:p w:rsidR="00305F30" w:rsidRPr="009D4115" w:rsidRDefault="00DB6801" w:rsidP="00305F30">
            <w:pPr>
              <w:rPr>
                <w:b/>
                <w:bCs/>
                <w:iCs/>
                <w:lang w:val="en-US"/>
              </w:rPr>
            </w:pPr>
            <w:r w:rsidRPr="009D4115">
              <w:rPr>
                <w:rFonts w:cs="Arial"/>
                <w:b/>
                <w:color w:val="000000"/>
                <w:lang w:val="en-US"/>
              </w:rPr>
              <w:t>Robust demand for eraSURE certified data erasure</w:t>
            </w:r>
          </w:p>
          <w:p w:rsidR="00DB6801" w:rsidRPr="009D4115" w:rsidRDefault="00DB6801" w:rsidP="00305F30">
            <w:pPr>
              <w:rPr>
                <w:lang w:val="en-US"/>
              </w:rPr>
            </w:pPr>
          </w:p>
          <w:p w:rsidR="00071754" w:rsidRPr="009D4115" w:rsidRDefault="00DB6801" w:rsidP="00D45803">
            <w:pPr>
              <w:rPr>
                <w:lang w:val="en-US"/>
              </w:rPr>
            </w:pPr>
            <w:r w:rsidRPr="009D4115">
              <w:rPr>
                <w:rFonts w:cs="Arial"/>
                <w:color w:val="000000"/>
                <w:lang w:val="en-US"/>
              </w:rPr>
              <w:t xml:space="preserve">CHG-MERIDIAN experienced a strong upturn in demand for certified data erasure at the end of the technology lifecycle. Developed by the Company and certified by independent inspection bodies, eraSURE is an automated, monitored process for reliably erasing data from all kinds of technological devices, from laptops to cellphones. Customers can select the security level that is appropriate for them, depending on the sensitivity of the information held on the data storage medium. More than 107,000 devices underwent the certified erasure process in the first nine months of 2016, equating to a year-on-year increase of 28.7 percent (Q1–Q3 2015: </w:t>
            </w:r>
            <w:r w:rsidRPr="009D4115">
              <w:rPr>
                <w:rFonts w:eastAsia="Times New Roman" w:cs="Arial"/>
                <w:color w:val="000000"/>
                <w:lang w:val="en-US"/>
              </w:rPr>
              <w:t xml:space="preserve">84,000 </w:t>
            </w:r>
            <w:r w:rsidRPr="009D4115">
              <w:rPr>
                <w:rFonts w:cs="Arial"/>
                <w:color w:val="000000"/>
                <w:lang w:val="en-US"/>
              </w:rPr>
              <w:t>devices).</w:t>
            </w:r>
          </w:p>
        </w:tc>
        <w:tc>
          <w:tcPr>
            <w:tcW w:w="2126" w:type="dxa"/>
            <w:vMerge/>
            <w:tcMar>
              <w:top w:w="0" w:type="dxa"/>
              <w:left w:w="0" w:type="dxa"/>
              <w:bottom w:w="0" w:type="dxa"/>
              <w:right w:w="284" w:type="dxa"/>
            </w:tcMar>
          </w:tcPr>
          <w:p w:rsidR="00547CF9" w:rsidRPr="009D4115" w:rsidRDefault="00547CF9" w:rsidP="00547CF9">
            <w:pPr>
              <w:rPr>
                <w:szCs w:val="14"/>
                <w:lang w:val="en-US"/>
              </w:rPr>
            </w:pPr>
          </w:p>
        </w:tc>
      </w:tr>
    </w:tbl>
    <w:p w:rsidR="00AA3DD5" w:rsidRPr="009D4115" w:rsidRDefault="00AA3DD5" w:rsidP="00AA3DD5">
      <w:pPr>
        <w:rPr>
          <w:lang w:val="en-US"/>
        </w:rPr>
      </w:pPr>
    </w:p>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9D4115" w:rsidTr="00E16161">
        <w:trPr>
          <w:trHeight w:val="3961"/>
        </w:trPr>
        <w:tc>
          <w:tcPr>
            <w:tcW w:w="9356" w:type="dxa"/>
            <w:tcMar>
              <w:top w:w="0" w:type="dxa"/>
              <w:left w:w="0" w:type="dxa"/>
              <w:bottom w:w="0" w:type="dxa"/>
              <w:right w:w="284" w:type="dxa"/>
            </w:tcMar>
          </w:tcPr>
          <w:p w:rsidR="00DB6801" w:rsidRPr="009D4115" w:rsidRDefault="00196EC6" w:rsidP="00DB6801">
            <w:pPr>
              <w:rPr>
                <w:lang w:val="en-US"/>
              </w:rPr>
            </w:pPr>
            <w:r w:rsidRPr="009D4115">
              <w:rPr>
                <w:rFonts w:cs="Arial"/>
                <w:b/>
                <w:color w:val="000000"/>
                <w:lang w:val="en-US"/>
              </w:rPr>
              <w:lastRenderedPageBreak/>
              <w:t>Confident start for Enterprise Mobility Solutions</w:t>
            </w:r>
            <w:r w:rsidRPr="009D4115">
              <w:rPr>
                <w:rFonts w:cs="Arial"/>
                <w:color w:val="000000"/>
                <w:lang w:val="en-US"/>
              </w:rPr>
              <w:t xml:space="preserve"> </w:t>
            </w:r>
          </w:p>
          <w:p w:rsidR="00DB6801" w:rsidRPr="009D4115" w:rsidRDefault="00DB6801" w:rsidP="00DB6801">
            <w:pPr>
              <w:rPr>
                <w:lang w:val="en-US"/>
              </w:rPr>
            </w:pPr>
          </w:p>
          <w:p w:rsidR="00DB6801" w:rsidRPr="009D4115" w:rsidRDefault="00DB6801" w:rsidP="00DB6801">
            <w:pPr>
              <w:rPr>
                <w:color w:val="auto"/>
                <w:lang w:val="en-US"/>
              </w:rPr>
            </w:pPr>
            <w:r w:rsidRPr="009D4115">
              <w:rPr>
                <w:rFonts w:cs="Arial"/>
                <w:color w:val="000000"/>
                <w:lang w:val="en-US"/>
              </w:rPr>
              <w:t xml:space="preserve">It was clear from the high level of customer interest soon after the market launch in June 2016 of the new Enterprise Mobility Solutions (EMS) in the Central Europe region that this all-round package for mobile working has great potential for success: The IT solutions enable companies to follow a consistent strategy when equipping their mobile workplaces without having to compromise on flexibility or security. "Thanks to the free choice of equipment and individual tariff settings, the mobile infrastructure can be designed to be cost-effective and fully tailored to the company's needs," explains </w:t>
            </w:r>
            <w:r w:rsidRPr="009D4115">
              <w:rPr>
                <w:rFonts w:cs="Arial"/>
                <w:color w:val="auto"/>
                <w:lang w:val="en-US"/>
              </w:rPr>
              <w:t xml:space="preserve">Frank Kottmann, member of the Management Board of CHG-MERIDIAN, who is responsible for sales in Central Europe. </w:t>
            </w:r>
          </w:p>
          <w:p w:rsidR="00DB6801" w:rsidRPr="009D4115" w:rsidRDefault="00DB6801" w:rsidP="00DB6801">
            <w:pPr>
              <w:rPr>
                <w:lang w:val="en-US"/>
              </w:rPr>
            </w:pPr>
          </w:p>
          <w:p w:rsidR="00DB6801" w:rsidRPr="009D4115" w:rsidRDefault="00DB6801" w:rsidP="00DB6801">
            <w:pPr>
              <w:rPr>
                <w:lang w:val="en-US"/>
              </w:rPr>
            </w:pPr>
            <w:r w:rsidRPr="009D4115">
              <w:rPr>
                <w:rFonts w:cs="Arial"/>
                <w:color w:val="000000"/>
                <w:lang w:val="en-US"/>
              </w:rPr>
              <w:t xml:space="preserve">CHG-MERIDIAN offers a one-stop solution encompassing the entire lifecycle of a mobile workplace: from the initial financing and delivery of the equipment to configuration, a repair service and certified data erasure at the end of the equipment's useful life. This significantly reduces the burden on users' internal resources, a concept that has been extremely well received by the market from the outset, as </w:t>
            </w:r>
            <w:r w:rsidRPr="009D4115">
              <w:rPr>
                <w:rFonts w:cs="Arial"/>
                <w:color w:val="auto"/>
                <w:lang w:val="en-US"/>
              </w:rPr>
              <w:t xml:space="preserve">Kottmann </w:t>
            </w:r>
            <w:r w:rsidRPr="009D4115">
              <w:rPr>
                <w:rFonts w:cs="Arial"/>
                <w:color w:val="000000"/>
                <w:lang w:val="en-US"/>
              </w:rPr>
              <w:t>reports: "With Enterprise Mobility Solutions, we have added another innovative product for managing mobile technologies to our portfolio. Even at this early stage, the product has the potential to develop into another key pillar of revenue and earnings."</w:t>
            </w:r>
          </w:p>
          <w:p w:rsidR="00DB6801" w:rsidRPr="009D4115" w:rsidRDefault="00DB6801" w:rsidP="00DB6801">
            <w:pPr>
              <w:rPr>
                <w:lang w:val="en-US"/>
              </w:rPr>
            </w:pPr>
          </w:p>
          <w:p w:rsidR="00721ADA" w:rsidRPr="009D4115" w:rsidRDefault="00DB6801" w:rsidP="00071754">
            <w:pPr>
              <w:rPr>
                <w:lang w:val="en-US"/>
              </w:rPr>
            </w:pPr>
            <w:r w:rsidRPr="009D4115">
              <w:rPr>
                <w:rFonts w:cs="Arial"/>
                <w:color w:val="000000"/>
                <w:lang w:val="en-US"/>
              </w:rPr>
              <w:t xml:space="preserve">Further information and photos can be found at </w:t>
            </w:r>
            <w:hyperlink r:id="rId10" w:history="1">
              <w:r w:rsidRPr="009D4115">
                <w:rPr>
                  <w:rStyle w:val="Hyperlink"/>
                  <w:rFonts w:cs="Arial"/>
                  <w:b/>
                  <w:color w:val="auto"/>
                  <w:lang w:val="en-US"/>
                </w:rPr>
                <w:t>www.chg-meridian.com</w:t>
              </w:r>
            </w:hyperlink>
            <w:r w:rsidRPr="009D4115">
              <w:rPr>
                <w:rFonts w:cs="Arial"/>
                <w:color w:val="000000"/>
                <w:lang w:val="en-US"/>
              </w:rPr>
              <w:t xml:space="preserve"> </w:t>
            </w:r>
          </w:p>
          <w:p w:rsidR="00721ADA" w:rsidRDefault="00721ADA"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Default="00061A08" w:rsidP="00071754">
            <w:pPr>
              <w:rPr>
                <w:lang w:val="en-US"/>
              </w:rPr>
            </w:pPr>
          </w:p>
          <w:p w:rsidR="00061A08" w:rsidRPr="009D4115" w:rsidRDefault="00061A08" w:rsidP="00071754">
            <w:pPr>
              <w:rPr>
                <w:lang w:val="en-US"/>
              </w:rPr>
            </w:pPr>
          </w:p>
          <w:p w:rsidR="00AA3DD5" w:rsidRPr="009D4115" w:rsidRDefault="00AA3DD5" w:rsidP="000733A9">
            <w:pPr>
              <w:pStyle w:val="AufzhlungspunkteCHG-MERIDIAN"/>
              <w:numPr>
                <w:ilvl w:val="0"/>
                <w:numId w:val="0"/>
              </w:numPr>
              <w:rPr>
                <w:noProof/>
                <w:lang w:val="en-US"/>
              </w:rPr>
            </w:pPr>
          </w:p>
        </w:tc>
      </w:tr>
      <w:tr w:rsidR="006779EB" w:rsidRPr="009D4115" w:rsidTr="00E16161">
        <w:trPr>
          <w:trHeight w:val="429"/>
        </w:trPr>
        <w:tc>
          <w:tcPr>
            <w:tcW w:w="9356" w:type="dxa"/>
            <w:tcMar>
              <w:top w:w="0" w:type="dxa"/>
              <w:left w:w="0" w:type="dxa"/>
              <w:bottom w:w="0" w:type="dxa"/>
              <w:right w:w="284" w:type="dxa"/>
            </w:tcMar>
          </w:tcPr>
          <w:p w:rsidR="00C96EAA" w:rsidRPr="009D4115" w:rsidRDefault="00C96EAA" w:rsidP="00C96EAA">
            <w:pPr>
              <w:pStyle w:val="berschrift3"/>
              <w:outlineLvl w:val="2"/>
              <w:rPr>
                <w:lang w:val="en-US"/>
              </w:rPr>
            </w:pPr>
            <w:r w:rsidRPr="009D4115">
              <w:rPr>
                <w:rFonts w:cs="Arial"/>
                <w:color w:val="000000"/>
                <w:lang w:val="en-US"/>
              </w:rPr>
              <w:lastRenderedPageBreak/>
              <w:t>Key performance indicators of the CHG-MERIDIAN Group for the nine months to September 30, 2016</w:t>
            </w:r>
          </w:p>
          <w:p w:rsidR="006779EB" w:rsidRPr="009D4115" w:rsidRDefault="006779EB" w:rsidP="00492B12">
            <w:pPr>
              <w:rPr>
                <w:b/>
                <w:lang w:val="en-US"/>
              </w:rPr>
            </w:pPr>
          </w:p>
        </w:tc>
      </w:tr>
      <w:tr w:rsidR="006779EB" w:rsidRPr="009D4115" w:rsidTr="00E16161">
        <w:trPr>
          <w:trHeight w:val="515"/>
        </w:trPr>
        <w:tc>
          <w:tcPr>
            <w:tcW w:w="9356" w:type="dxa"/>
            <w:tcMar>
              <w:top w:w="0" w:type="dxa"/>
              <w:left w:w="0" w:type="dxa"/>
              <w:bottom w:w="0" w:type="dxa"/>
              <w:right w:w="284" w:type="dxa"/>
            </w:tcMar>
          </w:tcPr>
          <w:tbl>
            <w:tblPr>
              <w:tblpPr w:leftFromText="180" w:rightFromText="180" w:vertAnchor="text" w:horzAnchor="margin" w:tblpY="-160"/>
              <w:tblOverlap w:val="never"/>
              <w:tblW w:w="9072" w:type="dxa"/>
              <w:tblLayout w:type="fixed"/>
              <w:tblCellMar>
                <w:left w:w="70" w:type="dxa"/>
                <w:right w:w="70" w:type="dxa"/>
              </w:tblCellMar>
              <w:tblLook w:val="04A0" w:firstRow="1" w:lastRow="0" w:firstColumn="1" w:lastColumn="0" w:noHBand="0" w:noVBand="1"/>
            </w:tblPr>
            <w:tblGrid>
              <w:gridCol w:w="3686"/>
              <w:gridCol w:w="1984"/>
              <w:gridCol w:w="1701"/>
              <w:gridCol w:w="1701"/>
            </w:tblGrid>
            <w:tr w:rsidR="00C96EAA" w:rsidRPr="009D4115" w:rsidTr="0022572B">
              <w:trPr>
                <w:trHeight w:val="373"/>
              </w:trPr>
              <w:tc>
                <w:tcPr>
                  <w:tcW w:w="3686" w:type="dxa"/>
                  <w:shd w:val="clear" w:color="auto" w:fill="ACA53D"/>
                  <w:noWrap/>
                  <w:vAlign w:val="center"/>
                  <w:hideMark/>
                </w:tcPr>
                <w:p w:rsidR="00C96EAA" w:rsidRPr="009D4115" w:rsidRDefault="00C96EAA" w:rsidP="00C96EAA">
                  <w:pPr>
                    <w:jc w:val="left"/>
                    <w:rPr>
                      <w:b/>
                      <w:color w:val="F8F8F8"/>
                      <w:szCs w:val="19"/>
                      <w:lang w:val="en-US"/>
                    </w:rPr>
                  </w:pPr>
                  <w:r w:rsidRPr="009D4115">
                    <w:rPr>
                      <w:rFonts w:cs="Arial"/>
                      <w:b/>
                      <w:color w:val="F8F8F8"/>
                      <w:lang w:val="en-US"/>
                    </w:rPr>
                    <w:t>€000's</w:t>
                  </w:r>
                </w:p>
              </w:tc>
              <w:tc>
                <w:tcPr>
                  <w:tcW w:w="1984" w:type="dxa"/>
                  <w:shd w:val="clear" w:color="auto" w:fill="ACA53D"/>
                  <w:noWrap/>
                  <w:vAlign w:val="center"/>
                  <w:hideMark/>
                </w:tcPr>
                <w:p w:rsidR="00C96EAA" w:rsidRPr="009D4115" w:rsidRDefault="00305F30" w:rsidP="00DB6801">
                  <w:pPr>
                    <w:jc w:val="right"/>
                    <w:rPr>
                      <w:b/>
                      <w:color w:val="F8F8F8"/>
                      <w:szCs w:val="19"/>
                      <w:lang w:val="en-US"/>
                    </w:rPr>
                  </w:pPr>
                  <w:r w:rsidRPr="009D4115">
                    <w:rPr>
                      <w:rFonts w:cs="Arial"/>
                      <w:b/>
                      <w:color w:val="F8F8F8"/>
                      <w:lang w:val="en-US"/>
                    </w:rPr>
                    <w:t>Q1–Q3 2016</w:t>
                  </w:r>
                </w:p>
              </w:tc>
              <w:tc>
                <w:tcPr>
                  <w:tcW w:w="1701" w:type="dxa"/>
                  <w:shd w:val="clear" w:color="auto" w:fill="ACA53D"/>
                  <w:noWrap/>
                  <w:vAlign w:val="center"/>
                  <w:hideMark/>
                </w:tcPr>
                <w:p w:rsidR="00C96EAA" w:rsidRPr="009D4115" w:rsidRDefault="00305F30" w:rsidP="00DB6801">
                  <w:pPr>
                    <w:jc w:val="right"/>
                    <w:rPr>
                      <w:b/>
                      <w:color w:val="F8F8F8"/>
                      <w:szCs w:val="19"/>
                      <w:lang w:val="en-US"/>
                    </w:rPr>
                  </w:pPr>
                  <w:r w:rsidRPr="009D4115">
                    <w:rPr>
                      <w:rFonts w:cs="Arial"/>
                      <w:b/>
                      <w:color w:val="F8F8F8"/>
                      <w:lang w:val="en-US"/>
                    </w:rPr>
                    <w:t>Q1–Q3 2015</w:t>
                  </w:r>
                </w:p>
              </w:tc>
              <w:tc>
                <w:tcPr>
                  <w:tcW w:w="1701" w:type="dxa"/>
                  <w:shd w:val="clear" w:color="auto" w:fill="ACA53D"/>
                  <w:vAlign w:val="center"/>
                </w:tcPr>
                <w:p w:rsidR="00C96EAA" w:rsidRPr="009D4115" w:rsidRDefault="00C96EAA" w:rsidP="00C96EAA">
                  <w:pPr>
                    <w:jc w:val="right"/>
                    <w:rPr>
                      <w:b/>
                      <w:color w:val="F8F8F8"/>
                      <w:szCs w:val="19"/>
                      <w:lang w:val="en-US"/>
                    </w:rPr>
                  </w:pPr>
                  <w:r w:rsidRPr="009D4115">
                    <w:rPr>
                      <w:rFonts w:cs="Arial"/>
                      <w:b/>
                      <w:color w:val="F8F8F8"/>
                      <w:lang w:val="en-US"/>
                    </w:rPr>
                    <w:t>2015</w:t>
                  </w:r>
                </w:p>
              </w:tc>
            </w:tr>
            <w:tr w:rsidR="00C96EAA" w:rsidRPr="009D4115" w:rsidTr="0022572B">
              <w:trPr>
                <w:trHeight w:val="426"/>
              </w:trPr>
              <w:tc>
                <w:tcPr>
                  <w:tcW w:w="3686" w:type="dxa"/>
                  <w:noWrap/>
                  <w:vAlign w:val="bottom"/>
                  <w:hideMark/>
                </w:tcPr>
                <w:p w:rsidR="00C96EAA" w:rsidRPr="009D4115" w:rsidRDefault="00C96EAA" w:rsidP="00C96EAA">
                  <w:pPr>
                    <w:jc w:val="left"/>
                    <w:rPr>
                      <w:rFonts w:eastAsia="Times New Roman" w:cs="Arial"/>
                      <w:color w:val="000000"/>
                      <w:szCs w:val="19"/>
                      <w:lang w:val="en-US" w:eastAsia="de-DE"/>
                    </w:rPr>
                  </w:pPr>
                  <w:r w:rsidRPr="009D4115">
                    <w:rPr>
                      <w:rFonts w:eastAsia="Times New Roman" w:cs="Arial"/>
                      <w:color w:val="000000"/>
                      <w:lang w:val="en-US"/>
                    </w:rPr>
                    <w:t>Group lease originations</w:t>
                  </w:r>
                </w:p>
              </w:tc>
              <w:tc>
                <w:tcPr>
                  <w:tcW w:w="1984" w:type="dxa"/>
                  <w:noWrap/>
                  <w:vAlign w:val="bottom"/>
                </w:tcPr>
                <w:p w:rsidR="00C96EAA" w:rsidRPr="009D4115" w:rsidRDefault="00EB51FA" w:rsidP="00DB6801">
                  <w:pPr>
                    <w:jc w:val="right"/>
                    <w:rPr>
                      <w:rFonts w:eastAsia="Times New Roman" w:cs="Arial"/>
                      <w:szCs w:val="19"/>
                      <w:lang w:val="en-US" w:eastAsia="de-DE"/>
                    </w:rPr>
                  </w:pPr>
                  <w:r w:rsidRPr="009D4115">
                    <w:rPr>
                      <w:rFonts w:eastAsia="Times New Roman" w:cs="Arial"/>
                      <w:color w:val="000000"/>
                      <w:lang w:val="en-US"/>
                    </w:rPr>
                    <w:t>814,954</w:t>
                  </w:r>
                </w:p>
              </w:tc>
              <w:tc>
                <w:tcPr>
                  <w:tcW w:w="1701" w:type="dxa"/>
                  <w:noWrap/>
                  <w:vAlign w:val="bottom"/>
                  <w:hideMark/>
                </w:tcPr>
                <w:p w:rsidR="00C96EAA" w:rsidRPr="009D4115" w:rsidRDefault="00EB51FA" w:rsidP="00DB6801">
                  <w:pPr>
                    <w:jc w:val="right"/>
                    <w:rPr>
                      <w:rFonts w:eastAsia="Times New Roman" w:cs="Arial"/>
                      <w:szCs w:val="19"/>
                      <w:lang w:val="en-US" w:eastAsia="de-DE"/>
                    </w:rPr>
                  </w:pPr>
                  <w:r w:rsidRPr="009D4115">
                    <w:rPr>
                      <w:rFonts w:eastAsia="Times New Roman" w:cs="Arial"/>
                      <w:color w:val="000000"/>
                      <w:lang w:val="en-US"/>
                    </w:rPr>
                    <w:t>718,414</w:t>
                  </w:r>
                </w:p>
              </w:tc>
              <w:tc>
                <w:tcPr>
                  <w:tcW w:w="1701" w:type="dxa"/>
                  <w:vAlign w:val="bottom"/>
                </w:tcPr>
                <w:p w:rsidR="00C96EAA" w:rsidRPr="009D4115" w:rsidRDefault="00C96EAA" w:rsidP="00C96EAA">
                  <w:pPr>
                    <w:jc w:val="right"/>
                    <w:rPr>
                      <w:rFonts w:eastAsia="Times New Roman" w:cs="Arial"/>
                      <w:szCs w:val="19"/>
                      <w:lang w:val="en-US" w:eastAsia="de-DE"/>
                    </w:rPr>
                  </w:pPr>
                  <w:r w:rsidRPr="009D4115">
                    <w:rPr>
                      <w:rFonts w:eastAsia="Times New Roman" w:cs="Arial"/>
                      <w:color w:val="000000"/>
                      <w:lang w:val="en-US"/>
                    </w:rPr>
                    <w:t>1,056,511</w:t>
                  </w:r>
                </w:p>
              </w:tc>
            </w:tr>
            <w:tr w:rsidR="00C96EAA" w:rsidRPr="009D4115" w:rsidTr="0022572B">
              <w:trPr>
                <w:trHeight w:val="426"/>
              </w:trPr>
              <w:tc>
                <w:tcPr>
                  <w:tcW w:w="3686" w:type="dxa"/>
                  <w:shd w:val="clear" w:color="auto" w:fill="FFFFFF" w:themeFill="background1" w:themeFillTint="66"/>
                  <w:noWrap/>
                  <w:vAlign w:val="bottom"/>
                  <w:hideMark/>
                </w:tcPr>
                <w:p w:rsidR="00C96EAA" w:rsidRPr="009D4115" w:rsidRDefault="00C96EAA" w:rsidP="00C96EAA">
                  <w:pPr>
                    <w:jc w:val="left"/>
                    <w:rPr>
                      <w:rFonts w:eastAsia="Times New Roman" w:cs="Arial"/>
                      <w:color w:val="000000"/>
                      <w:szCs w:val="19"/>
                      <w:lang w:val="en-US" w:eastAsia="de-DE"/>
                    </w:rPr>
                  </w:pPr>
                  <w:r w:rsidRPr="009D4115">
                    <w:rPr>
                      <w:rFonts w:eastAsia="Times New Roman" w:cs="Arial"/>
                      <w:color w:val="000000"/>
                      <w:lang w:val="en-US"/>
                    </w:rPr>
                    <w:t>By region:</w:t>
                  </w:r>
                </w:p>
              </w:tc>
              <w:tc>
                <w:tcPr>
                  <w:tcW w:w="1984" w:type="dxa"/>
                  <w:shd w:val="clear" w:color="auto" w:fill="FFFFFF" w:themeFill="background1" w:themeFillTint="66"/>
                  <w:noWrap/>
                  <w:vAlign w:val="bottom"/>
                </w:tcPr>
                <w:p w:rsidR="00C96EAA" w:rsidRPr="009D4115" w:rsidRDefault="00C96EAA" w:rsidP="00C96EAA">
                  <w:pPr>
                    <w:jc w:val="left"/>
                    <w:rPr>
                      <w:rFonts w:ascii="Calibri" w:hAnsi="Calibri"/>
                      <w:sz w:val="20"/>
                      <w:szCs w:val="20"/>
                      <w:lang w:val="en-US" w:eastAsia="de-DE"/>
                    </w:rPr>
                  </w:pPr>
                </w:p>
              </w:tc>
              <w:tc>
                <w:tcPr>
                  <w:tcW w:w="1701" w:type="dxa"/>
                  <w:shd w:val="clear" w:color="auto" w:fill="FFFFFF" w:themeFill="background1" w:themeFillTint="66"/>
                  <w:noWrap/>
                  <w:vAlign w:val="bottom"/>
                  <w:hideMark/>
                </w:tcPr>
                <w:p w:rsidR="00C96EAA" w:rsidRPr="009D4115" w:rsidRDefault="00C96EAA" w:rsidP="00C96EAA">
                  <w:pPr>
                    <w:jc w:val="left"/>
                    <w:rPr>
                      <w:rFonts w:ascii="Calibri" w:hAnsi="Calibri"/>
                      <w:sz w:val="20"/>
                      <w:szCs w:val="20"/>
                      <w:lang w:val="en-US" w:eastAsia="de-DE"/>
                    </w:rPr>
                  </w:pPr>
                </w:p>
              </w:tc>
              <w:tc>
                <w:tcPr>
                  <w:tcW w:w="1701" w:type="dxa"/>
                  <w:shd w:val="clear" w:color="auto" w:fill="FFFFFF" w:themeFill="background1" w:themeFillTint="66"/>
                </w:tcPr>
                <w:p w:rsidR="00C96EAA" w:rsidRPr="009D4115" w:rsidRDefault="00C96EAA" w:rsidP="00C96EAA">
                  <w:pPr>
                    <w:jc w:val="left"/>
                    <w:rPr>
                      <w:rFonts w:ascii="Calibri" w:hAnsi="Calibri"/>
                      <w:sz w:val="20"/>
                      <w:szCs w:val="20"/>
                      <w:lang w:val="en-US" w:eastAsia="de-DE"/>
                    </w:rPr>
                  </w:pPr>
                </w:p>
              </w:tc>
            </w:tr>
            <w:tr w:rsidR="00EB51FA" w:rsidRPr="009D4115" w:rsidTr="0022572B">
              <w:trPr>
                <w:trHeight w:val="426"/>
              </w:trPr>
              <w:tc>
                <w:tcPr>
                  <w:tcW w:w="3686" w:type="dxa"/>
                  <w:shd w:val="clear" w:color="auto" w:fill="FFFFFF" w:themeFill="background1" w:themeFillTint="66"/>
                  <w:noWrap/>
                  <w:vAlign w:val="bottom"/>
                  <w:hideMark/>
                </w:tcPr>
                <w:p w:rsidR="00EB51FA" w:rsidRPr="009D4115" w:rsidRDefault="00EB51FA" w:rsidP="00EB51FA">
                  <w:pPr>
                    <w:jc w:val="left"/>
                    <w:rPr>
                      <w:rFonts w:eastAsia="Times New Roman" w:cs="Arial"/>
                      <w:color w:val="000000"/>
                      <w:szCs w:val="19"/>
                      <w:lang w:val="en-US" w:eastAsia="de-DE"/>
                    </w:rPr>
                  </w:pPr>
                  <w:r w:rsidRPr="009D4115">
                    <w:rPr>
                      <w:rFonts w:eastAsia="Times New Roman" w:cs="Arial"/>
                      <w:color w:val="000000"/>
                      <w:lang w:val="en-US"/>
                    </w:rPr>
                    <w:t>Central Europe (Germany, Austria, Switzerland, Slovenia)</w:t>
                  </w:r>
                </w:p>
              </w:tc>
              <w:tc>
                <w:tcPr>
                  <w:tcW w:w="1984" w:type="dxa"/>
                  <w:shd w:val="clear" w:color="auto" w:fill="FFFFFF" w:themeFill="background1" w:themeFillTint="66"/>
                  <w:noWrap/>
                  <w:vAlign w:val="bottom"/>
                </w:tcPr>
                <w:p w:rsidR="00EB51FA" w:rsidRPr="009D4115" w:rsidRDefault="00EB51FA" w:rsidP="00EB51FA">
                  <w:pPr>
                    <w:jc w:val="right"/>
                    <w:rPr>
                      <w:rFonts w:eastAsia="Times New Roman" w:cs="Arial"/>
                      <w:szCs w:val="19"/>
                      <w:lang w:val="en-US" w:eastAsia="de-DE"/>
                    </w:rPr>
                  </w:pPr>
                  <w:r w:rsidRPr="009D4115">
                    <w:rPr>
                      <w:rFonts w:eastAsia="Times New Roman" w:cs="Arial"/>
                      <w:color w:val="000000"/>
                      <w:lang w:val="en-US"/>
                    </w:rPr>
                    <w:t>426,575</w:t>
                  </w:r>
                </w:p>
              </w:tc>
              <w:tc>
                <w:tcPr>
                  <w:tcW w:w="1701" w:type="dxa"/>
                  <w:shd w:val="clear" w:color="auto" w:fill="FFFFFF" w:themeFill="background1" w:themeFillTint="66"/>
                  <w:noWrap/>
                  <w:vAlign w:val="bottom"/>
                  <w:hideMark/>
                </w:tcPr>
                <w:p w:rsidR="00EB51FA" w:rsidRPr="009D4115" w:rsidRDefault="00EB51FA" w:rsidP="00EB51FA">
                  <w:pPr>
                    <w:jc w:val="right"/>
                    <w:rPr>
                      <w:rFonts w:eastAsia="Times New Roman" w:cs="Arial"/>
                      <w:szCs w:val="19"/>
                      <w:lang w:val="en-US" w:eastAsia="de-DE"/>
                    </w:rPr>
                  </w:pPr>
                  <w:r w:rsidRPr="009D4115">
                    <w:rPr>
                      <w:rFonts w:eastAsia="Times New Roman" w:cs="Arial"/>
                      <w:color w:val="000000"/>
                      <w:lang w:val="en-US"/>
                    </w:rPr>
                    <w:t>379,789</w:t>
                  </w:r>
                </w:p>
              </w:tc>
              <w:tc>
                <w:tcPr>
                  <w:tcW w:w="1701" w:type="dxa"/>
                  <w:shd w:val="clear" w:color="auto" w:fill="FFFFFF" w:themeFill="background1" w:themeFillTint="66"/>
                  <w:vAlign w:val="bottom"/>
                </w:tcPr>
                <w:p w:rsidR="00EB51FA" w:rsidRPr="009D4115" w:rsidRDefault="00EB51FA" w:rsidP="00EB51FA">
                  <w:pPr>
                    <w:jc w:val="right"/>
                    <w:rPr>
                      <w:rFonts w:eastAsia="Times New Roman" w:cs="Arial"/>
                      <w:szCs w:val="19"/>
                      <w:lang w:val="en-US" w:eastAsia="de-DE"/>
                    </w:rPr>
                  </w:pPr>
                  <w:r w:rsidRPr="009D4115">
                    <w:rPr>
                      <w:rFonts w:eastAsia="Times New Roman" w:cs="Arial"/>
                      <w:color w:val="000000"/>
                      <w:lang w:val="en-US"/>
                    </w:rPr>
                    <w:t>540,573</w:t>
                  </w:r>
                </w:p>
              </w:tc>
            </w:tr>
            <w:tr w:rsidR="00C96EAA" w:rsidRPr="009D4115" w:rsidTr="0022572B">
              <w:trPr>
                <w:trHeight w:val="426"/>
              </w:trPr>
              <w:tc>
                <w:tcPr>
                  <w:tcW w:w="3686" w:type="dxa"/>
                  <w:shd w:val="clear" w:color="auto" w:fill="FFFFFF" w:themeFill="background1" w:themeFillTint="66"/>
                  <w:noWrap/>
                  <w:vAlign w:val="bottom"/>
                  <w:hideMark/>
                </w:tcPr>
                <w:p w:rsidR="00C96EAA" w:rsidRPr="009D4115" w:rsidRDefault="00C96EAA" w:rsidP="00C96EAA">
                  <w:pPr>
                    <w:jc w:val="left"/>
                    <w:rPr>
                      <w:rFonts w:eastAsia="Times New Roman" w:cs="Arial"/>
                      <w:color w:val="000000"/>
                      <w:szCs w:val="19"/>
                      <w:lang w:val="en-US" w:eastAsia="de-DE"/>
                    </w:rPr>
                  </w:pPr>
                  <w:r w:rsidRPr="009D4115">
                    <w:rPr>
                      <w:rFonts w:eastAsia="Times New Roman" w:cs="Arial"/>
                      <w:color w:val="000000"/>
                      <w:lang w:val="en-US"/>
                    </w:rPr>
                    <w:t xml:space="preserve">Western Europe </w:t>
                  </w:r>
                </w:p>
              </w:tc>
              <w:tc>
                <w:tcPr>
                  <w:tcW w:w="1984" w:type="dxa"/>
                  <w:shd w:val="clear" w:color="auto" w:fill="FFFFFF" w:themeFill="background1" w:themeFillTint="66"/>
                  <w:noWrap/>
                  <w:vAlign w:val="bottom"/>
                </w:tcPr>
                <w:p w:rsidR="00C96EAA" w:rsidRPr="009D4115" w:rsidRDefault="00EB51FA" w:rsidP="00EB51FA">
                  <w:pPr>
                    <w:jc w:val="right"/>
                    <w:rPr>
                      <w:rFonts w:eastAsia="Times New Roman" w:cs="Arial"/>
                      <w:szCs w:val="19"/>
                      <w:lang w:val="en-US" w:eastAsia="de-DE"/>
                    </w:rPr>
                  </w:pPr>
                  <w:r w:rsidRPr="009D4115">
                    <w:rPr>
                      <w:rFonts w:eastAsia="Times New Roman" w:cs="Arial"/>
                      <w:color w:val="000000"/>
                      <w:lang w:val="en-US"/>
                    </w:rPr>
                    <w:t>130,060</w:t>
                  </w:r>
                </w:p>
              </w:tc>
              <w:tc>
                <w:tcPr>
                  <w:tcW w:w="1701" w:type="dxa"/>
                  <w:shd w:val="clear" w:color="auto" w:fill="FFFFFF" w:themeFill="background1" w:themeFillTint="66"/>
                  <w:noWrap/>
                  <w:vAlign w:val="bottom"/>
                  <w:hideMark/>
                </w:tcPr>
                <w:p w:rsidR="00C96EAA" w:rsidRPr="009D4115" w:rsidRDefault="00EB51FA" w:rsidP="00EB51FA">
                  <w:pPr>
                    <w:jc w:val="right"/>
                    <w:rPr>
                      <w:rFonts w:eastAsia="Times New Roman" w:cs="Arial"/>
                      <w:szCs w:val="19"/>
                      <w:lang w:val="en-US" w:eastAsia="de-DE"/>
                    </w:rPr>
                  </w:pPr>
                  <w:r w:rsidRPr="009D4115">
                    <w:rPr>
                      <w:rFonts w:eastAsia="Times New Roman" w:cs="Arial"/>
                      <w:color w:val="000000"/>
                      <w:lang w:val="en-US"/>
                    </w:rPr>
                    <w:t>120,528</w:t>
                  </w:r>
                </w:p>
              </w:tc>
              <w:tc>
                <w:tcPr>
                  <w:tcW w:w="1701" w:type="dxa"/>
                  <w:shd w:val="clear" w:color="auto" w:fill="FFFFFF" w:themeFill="background1" w:themeFillTint="66"/>
                  <w:vAlign w:val="bottom"/>
                </w:tcPr>
                <w:p w:rsidR="00C96EAA" w:rsidRPr="009D4115" w:rsidRDefault="00C96EAA" w:rsidP="00C96EAA">
                  <w:pPr>
                    <w:jc w:val="right"/>
                    <w:rPr>
                      <w:rFonts w:eastAsia="Times New Roman" w:cs="Arial"/>
                      <w:szCs w:val="19"/>
                      <w:lang w:val="en-US" w:eastAsia="de-DE"/>
                    </w:rPr>
                  </w:pPr>
                  <w:r w:rsidRPr="009D4115">
                    <w:rPr>
                      <w:rFonts w:eastAsia="Times New Roman" w:cs="Arial"/>
                      <w:color w:val="000000"/>
                      <w:lang w:val="en-US"/>
                    </w:rPr>
                    <w:t>185,967</w:t>
                  </w:r>
                </w:p>
              </w:tc>
            </w:tr>
            <w:tr w:rsidR="00821F61" w:rsidRPr="009D4115" w:rsidTr="0022572B">
              <w:trPr>
                <w:trHeight w:val="426"/>
              </w:trPr>
              <w:tc>
                <w:tcPr>
                  <w:tcW w:w="3686" w:type="dxa"/>
                  <w:shd w:val="clear" w:color="auto" w:fill="FFFFFF" w:themeFill="background1" w:themeFillTint="66"/>
                  <w:noWrap/>
                  <w:vAlign w:val="bottom"/>
                </w:tcPr>
                <w:p w:rsidR="00821F61" w:rsidRPr="009D4115" w:rsidRDefault="00821F61" w:rsidP="00821F61">
                  <w:pPr>
                    <w:jc w:val="left"/>
                    <w:rPr>
                      <w:rFonts w:eastAsia="Times New Roman" w:cs="Arial"/>
                      <w:color w:val="000000"/>
                      <w:szCs w:val="19"/>
                      <w:lang w:val="en-US" w:eastAsia="de-DE"/>
                    </w:rPr>
                  </w:pPr>
                  <w:r w:rsidRPr="009D4115">
                    <w:rPr>
                      <w:rFonts w:eastAsia="Times New Roman" w:cs="Arial"/>
                      <w:color w:val="000000"/>
                      <w:lang w:val="en-US"/>
                    </w:rPr>
                    <w:t>Americas</w:t>
                  </w:r>
                </w:p>
              </w:tc>
              <w:tc>
                <w:tcPr>
                  <w:tcW w:w="1984" w:type="dxa"/>
                  <w:shd w:val="clear" w:color="auto" w:fill="FFFFFF" w:themeFill="background1" w:themeFillTint="66"/>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115,181</w:t>
                  </w:r>
                </w:p>
              </w:tc>
              <w:tc>
                <w:tcPr>
                  <w:tcW w:w="1701" w:type="dxa"/>
                  <w:shd w:val="clear" w:color="auto" w:fill="FFFFFF" w:themeFill="background1" w:themeFillTint="66"/>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92,281</w:t>
                  </w:r>
                </w:p>
              </w:tc>
              <w:tc>
                <w:tcPr>
                  <w:tcW w:w="1701" w:type="dxa"/>
                  <w:shd w:val="clear" w:color="auto" w:fill="FFFFFF" w:themeFill="background1" w:themeFillTint="66"/>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142,515</w:t>
                  </w:r>
                </w:p>
              </w:tc>
            </w:tr>
            <w:tr w:rsidR="00821F61" w:rsidRPr="009D4115" w:rsidTr="0022572B">
              <w:trPr>
                <w:trHeight w:val="426"/>
              </w:trPr>
              <w:tc>
                <w:tcPr>
                  <w:tcW w:w="3686" w:type="dxa"/>
                  <w:shd w:val="clear" w:color="auto" w:fill="FFFFFF" w:themeFill="background1" w:themeFillTint="66"/>
                  <w:noWrap/>
                  <w:vAlign w:val="bottom"/>
                  <w:hideMark/>
                </w:tcPr>
                <w:p w:rsidR="00821F61" w:rsidRPr="009D4115" w:rsidRDefault="00821F61" w:rsidP="00821F61">
                  <w:pPr>
                    <w:jc w:val="left"/>
                    <w:rPr>
                      <w:rFonts w:eastAsia="Times New Roman" w:cs="Arial"/>
                      <w:color w:val="000000"/>
                      <w:szCs w:val="19"/>
                      <w:lang w:val="en-US" w:eastAsia="de-DE"/>
                    </w:rPr>
                  </w:pPr>
                  <w:r w:rsidRPr="009D4115">
                    <w:rPr>
                      <w:rFonts w:eastAsia="Times New Roman" w:cs="Arial"/>
                      <w:color w:val="000000"/>
                      <w:lang w:val="en-US"/>
                    </w:rPr>
                    <w:t>Southern Europe</w:t>
                  </w:r>
                </w:p>
              </w:tc>
              <w:tc>
                <w:tcPr>
                  <w:tcW w:w="1984" w:type="dxa"/>
                  <w:shd w:val="clear" w:color="auto" w:fill="FFFFFF" w:themeFill="background1" w:themeFillTint="66"/>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106,707</w:t>
                  </w:r>
                </w:p>
              </w:tc>
              <w:tc>
                <w:tcPr>
                  <w:tcW w:w="1701" w:type="dxa"/>
                  <w:shd w:val="clear" w:color="auto" w:fill="FFFFFF" w:themeFill="background1" w:themeFillTint="66"/>
                  <w:noWrap/>
                  <w:vAlign w:val="bottom"/>
                  <w:hideMark/>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81,054</w:t>
                  </w:r>
                </w:p>
              </w:tc>
              <w:tc>
                <w:tcPr>
                  <w:tcW w:w="1701" w:type="dxa"/>
                  <w:shd w:val="clear" w:color="auto" w:fill="FFFFFF" w:themeFill="background1" w:themeFillTint="66"/>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127,219</w:t>
                  </w:r>
                </w:p>
              </w:tc>
            </w:tr>
            <w:tr w:rsidR="00821F61" w:rsidRPr="009D4115" w:rsidTr="0022572B">
              <w:trPr>
                <w:trHeight w:val="426"/>
              </w:trPr>
              <w:tc>
                <w:tcPr>
                  <w:tcW w:w="3686" w:type="dxa"/>
                  <w:shd w:val="clear" w:color="auto" w:fill="FFFFFF" w:themeFill="background1" w:themeFillTint="66"/>
                  <w:noWrap/>
                  <w:vAlign w:val="bottom"/>
                  <w:hideMark/>
                </w:tcPr>
                <w:p w:rsidR="00821F61" w:rsidRPr="009D4115" w:rsidRDefault="00821F61" w:rsidP="00821F61">
                  <w:pPr>
                    <w:jc w:val="left"/>
                    <w:rPr>
                      <w:rFonts w:eastAsia="Times New Roman" w:cs="Arial"/>
                      <w:color w:val="000000"/>
                      <w:szCs w:val="19"/>
                      <w:lang w:val="en-US" w:eastAsia="de-DE"/>
                    </w:rPr>
                  </w:pPr>
                  <w:r w:rsidRPr="009D4115">
                    <w:rPr>
                      <w:rFonts w:eastAsia="Times New Roman" w:cs="Arial"/>
                      <w:color w:val="000000"/>
                      <w:lang w:val="en-US"/>
                    </w:rPr>
                    <w:t>Northeastern Europe</w:t>
                  </w:r>
                </w:p>
              </w:tc>
              <w:tc>
                <w:tcPr>
                  <w:tcW w:w="1984" w:type="dxa"/>
                  <w:shd w:val="clear" w:color="auto" w:fill="FFFFFF" w:themeFill="background1" w:themeFillTint="66"/>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36,431</w:t>
                  </w:r>
                </w:p>
              </w:tc>
              <w:tc>
                <w:tcPr>
                  <w:tcW w:w="1701" w:type="dxa"/>
                  <w:shd w:val="clear" w:color="auto" w:fill="FFFFFF" w:themeFill="background1" w:themeFillTint="66"/>
                  <w:noWrap/>
                  <w:vAlign w:val="bottom"/>
                  <w:hideMark/>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44,762</w:t>
                  </w:r>
                </w:p>
              </w:tc>
              <w:tc>
                <w:tcPr>
                  <w:tcW w:w="1701" w:type="dxa"/>
                  <w:shd w:val="clear" w:color="auto" w:fill="FFFFFF" w:themeFill="background1" w:themeFillTint="66"/>
                  <w:vAlign w:val="bottom"/>
                </w:tcPr>
                <w:p w:rsidR="00821F61" w:rsidRPr="009D4115" w:rsidRDefault="00D45803" w:rsidP="00D45803">
                  <w:pPr>
                    <w:jc w:val="right"/>
                    <w:rPr>
                      <w:rFonts w:eastAsia="Times New Roman" w:cs="Arial"/>
                      <w:szCs w:val="19"/>
                      <w:lang w:val="en-US" w:eastAsia="de-DE"/>
                    </w:rPr>
                  </w:pPr>
                  <w:r w:rsidRPr="009D4115">
                    <w:rPr>
                      <w:rFonts w:eastAsia="Times New Roman" w:cs="Arial"/>
                      <w:color w:val="000000"/>
                      <w:lang w:val="en-US"/>
                    </w:rPr>
                    <w:t>60,237</w:t>
                  </w:r>
                </w:p>
              </w:tc>
            </w:tr>
            <w:tr w:rsidR="00821F61" w:rsidRPr="009D4115" w:rsidTr="0022572B">
              <w:trPr>
                <w:trHeight w:val="227"/>
              </w:trPr>
              <w:tc>
                <w:tcPr>
                  <w:tcW w:w="3686" w:type="dxa"/>
                  <w:noWrap/>
                  <w:vAlign w:val="bottom"/>
                </w:tcPr>
                <w:p w:rsidR="00821F61" w:rsidRPr="009D4115" w:rsidRDefault="00821F61" w:rsidP="00821F61">
                  <w:pPr>
                    <w:jc w:val="left"/>
                    <w:rPr>
                      <w:rFonts w:eastAsia="Times New Roman" w:cs="Arial"/>
                      <w:color w:val="000000"/>
                      <w:szCs w:val="19"/>
                      <w:lang w:val="en-US" w:eastAsia="de-DE"/>
                    </w:rPr>
                  </w:pPr>
                </w:p>
              </w:tc>
              <w:tc>
                <w:tcPr>
                  <w:tcW w:w="1984" w:type="dxa"/>
                  <w:noWrap/>
                  <w:vAlign w:val="bottom"/>
                </w:tcPr>
                <w:p w:rsidR="00821F61" w:rsidRPr="009D4115" w:rsidRDefault="00821F61" w:rsidP="00821F61">
                  <w:pPr>
                    <w:jc w:val="right"/>
                    <w:rPr>
                      <w:rFonts w:eastAsia="Times New Roman" w:cs="Arial"/>
                      <w:szCs w:val="19"/>
                      <w:lang w:val="en-US" w:eastAsia="de-DE"/>
                    </w:rPr>
                  </w:pPr>
                </w:p>
              </w:tc>
              <w:tc>
                <w:tcPr>
                  <w:tcW w:w="1701" w:type="dxa"/>
                  <w:noWrap/>
                  <w:vAlign w:val="bottom"/>
                </w:tcPr>
                <w:p w:rsidR="00821F61" w:rsidRPr="009D4115" w:rsidRDefault="00821F61" w:rsidP="00821F61">
                  <w:pPr>
                    <w:jc w:val="right"/>
                    <w:rPr>
                      <w:rFonts w:eastAsia="Times New Roman" w:cs="Arial"/>
                      <w:szCs w:val="19"/>
                      <w:lang w:val="en-US" w:eastAsia="de-DE"/>
                    </w:rPr>
                  </w:pPr>
                </w:p>
              </w:tc>
              <w:tc>
                <w:tcPr>
                  <w:tcW w:w="1701" w:type="dxa"/>
                  <w:vAlign w:val="bottom"/>
                </w:tcPr>
                <w:p w:rsidR="00821F61" w:rsidRPr="009D4115" w:rsidRDefault="00821F61" w:rsidP="00821F61">
                  <w:pPr>
                    <w:jc w:val="right"/>
                    <w:rPr>
                      <w:rFonts w:eastAsia="Times New Roman" w:cs="Arial"/>
                      <w:szCs w:val="19"/>
                      <w:lang w:val="en-US" w:eastAsia="de-DE"/>
                    </w:rPr>
                  </w:pPr>
                </w:p>
              </w:tc>
            </w:tr>
            <w:tr w:rsidR="00821F61" w:rsidRPr="009D4115" w:rsidTr="0022572B">
              <w:trPr>
                <w:trHeight w:val="426"/>
              </w:trPr>
              <w:tc>
                <w:tcPr>
                  <w:tcW w:w="3686" w:type="dxa"/>
                  <w:noWrap/>
                  <w:vAlign w:val="bottom"/>
                  <w:hideMark/>
                </w:tcPr>
                <w:p w:rsidR="00821F61" w:rsidRPr="009D4115" w:rsidRDefault="00821F61" w:rsidP="00821F61">
                  <w:pPr>
                    <w:jc w:val="left"/>
                    <w:rPr>
                      <w:rFonts w:eastAsia="Times New Roman" w:cs="Arial"/>
                      <w:color w:val="000000" w:themeColor="text2"/>
                      <w:szCs w:val="19"/>
                      <w:lang w:val="en-US" w:eastAsia="de-DE"/>
                    </w:rPr>
                  </w:pPr>
                  <w:r w:rsidRPr="009D4115">
                    <w:rPr>
                      <w:rFonts w:eastAsia="Times New Roman" w:cs="Arial"/>
                      <w:color w:val="000000"/>
                      <w:lang w:val="en-US"/>
                    </w:rPr>
                    <w:t>of which: Germany</w:t>
                  </w:r>
                </w:p>
              </w:tc>
              <w:tc>
                <w:tcPr>
                  <w:tcW w:w="1984" w:type="dxa"/>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402,300</w:t>
                  </w:r>
                </w:p>
              </w:tc>
              <w:tc>
                <w:tcPr>
                  <w:tcW w:w="1701" w:type="dxa"/>
                  <w:noWrap/>
                  <w:vAlign w:val="bottom"/>
                  <w:hideMark/>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353,074</w:t>
                  </w:r>
                </w:p>
              </w:tc>
              <w:tc>
                <w:tcPr>
                  <w:tcW w:w="1701" w:type="dxa"/>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499,770</w:t>
                  </w:r>
                </w:p>
              </w:tc>
            </w:tr>
            <w:tr w:rsidR="00821F61" w:rsidRPr="009D4115" w:rsidTr="0022572B">
              <w:trPr>
                <w:trHeight w:val="426"/>
              </w:trPr>
              <w:tc>
                <w:tcPr>
                  <w:tcW w:w="3686" w:type="dxa"/>
                  <w:noWrap/>
                  <w:vAlign w:val="bottom"/>
                  <w:hideMark/>
                </w:tcPr>
                <w:p w:rsidR="00821F61" w:rsidRPr="009D4115" w:rsidRDefault="00821F61" w:rsidP="00821F61">
                  <w:pPr>
                    <w:jc w:val="left"/>
                    <w:rPr>
                      <w:rFonts w:eastAsia="Times New Roman" w:cs="Arial"/>
                      <w:color w:val="000000" w:themeColor="text2"/>
                      <w:szCs w:val="19"/>
                      <w:lang w:val="en-US" w:eastAsia="de-DE"/>
                    </w:rPr>
                  </w:pPr>
                  <w:r w:rsidRPr="009D4115">
                    <w:rPr>
                      <w:rFonts w:eastAsia="Times New Roman" w:cs="Arial"/>
                      <w:color w:val="000000"/>
                      <w:lang w:val="en-US"/>
                    </w:rPr>
                    <w:t>of which: international</w:t>
                  </w:r>
                </w:p>
              </w:tc>
              <w:tc>
                <w:tcPr>
                  <w:tcW w:w="1984" w:type="dxa"/>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412,654</w:t>
                  </w:r>
                </w:p>
              </w:tc>
              <w:tc>
                <w:tcPr>
                  <w:tcW w:w="1701" w:type="dxa"/>
                  <w:noWrap/>
                  <w:vAlign w:val="bottom"/>
                  <w:hideMark/>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365,340</w:t>
                  </w:r>
                </w:p>
              </w:tc>
              <w:tc>
                <w:tcPr>
                  <w:tcW w:w="1701" w:type="dxa"/>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556,741</w:t>
                  </w:r>
                </w:p>
              </w:tc>
            </w:tr>
            <w:tr w:rsidR="00821F61" w:rsidRPr="009D4115" w:rsidTr="0022572B">
              <w:trPr>
                <w:trHeight w:val="227"/>
              </w:trPr>
              <w:tc>
                <w:tcPr>
                  <w:tcW w:w="3686" w:type="dxa"/>
                  <w:shd w:val="clear" w:color="auto" w:fill="auto"/>
                  <w:noWrap/>
                  <w:vAlign w:val="bottom"/>
                </w:tcPr>
                <w:p w:rsidR="00821F61" w:rsidRPr="009D4115" w:rsidRDefault="00821F61" w:rsidP="00821F61">
                  <w:pPr>
                    <w:jc w:val="left"/>
                    <w:rPr>
                      <w:rFonts w:eastAsia="Times New Roman" w:cs="Arial"/>
                      <w:color w:val="000000"/>
                      <w:szCs w:val="19"/>
                      <w:lang w:val="en-US" w:eastAsia="de-DE"/>
                    </w:rPr>
                  </w:pPr>
                </w:p>
              </w:tc>
              <w:tc>
                <w:tcPr>
                  <w:tcW w:w="1984" w:type="dxa"/>
                  <w:shd w:val="clear" w:color="auto" w:fill="auto"/>
                  <w:noWrap/>
                  <w:vAlign w:val="bottom"/>
                </w:tcPr>
                <w:p w:rsidR="00821F61" w:rsidRPr="009D4115" w:rsidRDefault="00821F61" w:rsidP="00821F61">
                  <w:pPr>
                    <w:jc w:val="right"/>
                    <w:rPr>
                      <w:rFonts w:eastAsia="Times New Roman" w:cs="Arial"/>
                      <w:szCs w:val="19"/>
                      <w:lang w:val="en-US" w:eastAsia="de-DE"/>
                    </w:rPr>
                  </w:pPr>
                </w:p>
              </w:tc>
              <w:tc>
                <w:tcPr>
                  <w:tcW w:w="1701" w:type="dxa"/>
                  <w:shd w:val="clear" w:color="auto" w:fill="auto"/>
                  <w:noWrap/>
                  <w:vAlign w:val="bottom"/>
                </w:tcPr>
                <w:p w:rsidR="00821F61" w:rsidRPr="009D4115" w:rsidRDefault="00821F61" w:rsidP="00821F61">
                  <w:pPr>
                    <w:jc w:val="right"/>
                    <w:rPr>
                      <w:rFonts w:eastAsia="Times New Roman" w:cs="Arial"/>
                      <w:szCs w:val="19"/>
                      <w:lang w:val="en-US" w:eastAsia="de-DE"/>
                    </w:rPr>
                  </w:pPr>
                </w:p>
              </w:tc>
              <w:tc>
                <w:tcPr>
                  <w:tcW w:w="1701" w:type="dxa"/>
                  <w:shd w:val="clear" w:color="auto" w:fill="auto"/>
                  <w:vAlign w:val="bottom"/>
                </w:tcPr>
                <w:p w:rsidR="00821F61" w:rsidRPr="009D4115" w:rsidRDefault="00821F61" w:rsidP="00821F61">
                  <w:pPr>
                    <w:jc w:val="right"/>
                    <w:rPr>
                      <w:rFonts w:eastAsia="Times New Roman" w:cs="Arial"/>
                      <w:szCs w:val="19"/>
                      <w:lang w:val="en-US" w:eastAsia="de-DE"/>
                    </w:rPr>
                  </w:pPr>
                </w:p>
              </w:tc>
            </w:tr>
            <w:tr w:rsidR="00821F61" w:rsidRPr="009D4115" w:rsidTr="00721ADA">
              <w:trPr>
                <w:trHeight w:val="426"/>
              </w:trPr>
              <w:tc>
                <w:tcPr>
                  <w:tcW w:w="3686" w:type="dxa"/>
                  <w:shd w:val="clear" w:color="auto" w:fill="EEECE5"/>
                  <w:noWrap/>
                  <w:vAlign w:val="bottom"/>
                  <w:hideMark/>
                </w:tcPr>
                <w:p w:rsidR="00821F61" w:rsidRPr="009D4115" w:rsidRDefault="00821F61" w:rsidP="00821F61">
                  <w:pPr>
                    <w:jc w:val="left"/>
                    <w:rPr>
                      <w:rFonts w:eastAsia="Times New Roman" w:cs="Arial"/>
                      <w:color w:val="000000"/>
                      <w:szCs w:val="19"/>
                      <w:lang w:val="en-US" w:eastAsia="de-DE"/>
                    </w:rPr>
                  </w:pPr>
                  <w:r w:rsidRPr="009D4115">
                    <w:rPr>
                      <w:rFonts w:eastAsia="Times New Roman" w:cs="Arial"/>
                      <w:color w:val="000000"/>
                      <w:lang w:val="en-US"/>
                    </w:rPr>
                    <w:t>New customer lease originations (%)</w:t>
                  </w:r>
                </w:p>
              </w:tc>
              <w:tc>
                <w:tcPr>
                  <w:tcW w:w="1984" w:type="dxa"/>
                  <w:shd w:val="clear" w:color="auto" w:fill="EEECE5"/>
                  <w:noWrap/>
                  <w:vAlign w:val="bottom"/>
                </w:tcPr>
                <w:p w:rsidR="00821F61" w:rsidRPr="009D4115" w:rsidRDefault="00821F61" w:rsidP="00821F61">
                  <w:pPr>
                    <w:jc w:val="right"/>
                    <w:rPr>
                      <w:rFonts w:eastAsia="Times New Roman" w:cs="Arial"/>
                      <w:color w:val="000000" w:themeColor="text2"/>
                      <w:szCs w:val="19"/>
                      <w:lang w:val="en-US" w:eastAsia="de-DE"/>
                    </w:rPr>
                  </w:pPr>
                  <w:r w:rsidRPr="009D4115">
                    <w:rPr>
                      <w:rFonts w:eastAsia="Times New Roman" w:cs="Arial"/>
                      <w:color w:val="000000"/>
                      <w:lang w:val="en-US"/>
                    </w:rPr>
                    <w:t>26%</w:t>
                  </w:r>
                </w:p>
              </w:tc>
              <w:tc>
                <w:tcPr>
                  <w:tcW w:w="1701" w:type="dxa"/>
                  <w:shd w:val="clear" w:color="auto" w:fill="EEECE5"/>
                  <w:noWrap/>
                  <w:vAlign w:val="bottom"/>
                </w:tcPr>
                <w:p w:rsidR="00821F61" w:rsidRPr="009D4115" w:rsidRDefault="00821F61" w:rsidP="00821F61">
                  <w:pPr>
                    <w:jc w:val="right"/>
                    <w:rPr>
                      <w:rFonts w:eastAsia="Times New Roman" w:cs="Arial"/>
                      <w:color w:val="000000" w:themeColor="text2"/>
                      <w:szCs w:val="19"/>
                      <w:lang w:val="en-US" w:eastAsia="de-DE"/>
                    </w:rPr>
                  </w:pPr>
                  <w:r w:rsidRPr="009D4115">
                    <w:rPr>
                      <w:rFonts w:eastAsia="Times New Roman" w:cs="Arial"/>
                      <w:color w:val="000000"/>
                      <w:lang w:val="en-US"/>
                    </w:rPr>
                    <w:t>27.0%</w:t>
                  </w:r>
                </w:p>
              </w:tc>
              <w:tc>
                <w:tcPr>
                  <w:tcW w:w="1701" w:type="dxa"/>
                  <w:shd w:val="clear" w:color="auto" w:fill="EEECE5"/>
                  <w:vAlign w:val="bottom"/>
                </w:tcPr>
                <w:p w:rsidR="00821F61" w:rsidRPr="009D4115" w:rsidRDefault="00D45803" w:rsidP="00821F61">
                  <w:pPr>
                    <w:jc w:val="right"/>
                    <w:rPr>
                      <w:rFonts w:eastAsia="Times New Roman" w:cs="Arial"/>
                      <w:szCs w:val="19"/>
                      <w:lang w:val="en-US" w:eastAsia="de-DE"/>
                    </w:rPr>
                  </w:pPr>
                  <w:r w:rsidRPr="009D4115">
                    <w:rPr>
                      <w:rFonts w:eastAsia="Times New Roman" w:cs="Arial"/>
                      <w:color w:val="000000"/>
                      <w:lang w:val="en-US"/>
                    </w:rPr>
                    <w:t>28.0%</w:t>
                  </w:r>
                </w:p>
              </w:tc>
            </w:tr>
            <w:tr w:rsidR="00821F61" w:rsidRPr="009D4115" w:rsidTr="0022572B">
              <w:trPr>
                <w:trHeight w:val="227"/>
              </w:trPr>
              <w:tc>
                <w:tcPr>
                  <w:tcW w:w="3686" w:type="dxa"/>
                  <w:noWrap/>
                  <w:vAlign w:val="bottom"/>
                </w:tcPr>
                <w:p w:rsidR="00821F61" w:rsidRPr="009D4115" w:rsidRDefault="00821F61" w:rsidP="00821F61">
                  <w:pPr>
                    <w:jc w:val="left"/>
                    <w:rPr>
                      <w:rFonts w:eastAsia="Times New Roman" w:cs="Arial"/>
                      <w:color w:val="000000"/>
                      <w:szCs w:val="19"/>
                      <w:lang w:val="en-US" w:eastAsia="de-DE"/>
                    </w:rPr>
                  </w:pPr>
                </w:p>
              </w:tc>
              <w:tc>
                <w:tcPr>
                  <w:tcW w:w="1984" w:type="dxa"/>
                  <w:noWrap/>
                  <w:vAlign w:val="bottom"/>
                </w:tcPr>
                <w:p w:rsidR="00821F61" w:rsidRPr="009D4115" w:rsidRDefault="00821F61" w:rsidP="00821F61">
                  <w:pPr>
                    <w:jc w:val="right"/>
                    <w:rPr>
                      <w:rFonts w:eastAsia="Times New Roman" w:cs="Arial"/>
                      <w:szCs w:val="19"/>
                      <w:lang w:val="en-US" w:eastAsia="de-DE"/>
                    </w:rPr>
                  </w:pPr>
                </w:p>
              </w:tc>
              <w:tc>
                <w:tcPr>
                  <w:tcW w:w="1701" w:type="dxa"/>
                  <w:noWrap/>
                  <w:vAlign w:val="bottom"/>
                </w:tcPr>
                <w:p w:rsidR="00821F61" w:rsidRPr="009D4115" w:rsidRDefault="00821F61" w:rsidP="00821F61">
                  <w:pPr>
                    <w:jc w:val="right"/>
                    <w:rPr>
                      <w:rFonts w:eastAsia="Times New Roman" w:cs="Arial"/>
                      <w:szCs w:val="19"/>
                      <w:lang w:val="en-US" w:eastAsia="de-DE"/>
                    </w:rPr>
                  </w:pPr>
                </w:p>
              </w:tc>
              <w:tc>
                <w:tcPr>
                  <w:tcW w:w="1701" w:type="dxa"/>
                  <w:vAlign w:val="bottom"/>
                </w:tcPr>
                <w:p w:rsidR="00821F61" w:rsidRPr="009D4115" w:rsidRDefault="00821F61" w:rsidP="00821F61">
                  <w:pPr>
                    <w:jc w:val="right"/>
                    <w:rPr>
                      <w:rFonts w:eastAsia="Times New Roman" w:cs="Arial"/>
                      <w:szCs w:val="19"/>
                      <w:lang w:val="en-US" w:eastAsia="de-DE"/>
                    </w:rPr>
                  </w:pPr>
                </w:p>
              </w:tc>
            </w:tr>
            <w:tr w:rsidR="00821F61" w:rsidRPr="009D4115" w:rsidTr="0022572B">
              <w:trPr>
                <w:trHeight w:val="426"/>
              </w:trPr>
              <w:tc>
                <w:tcPr>
                  <w:tcW w:w="3686" w:type="dxa"/>
                  <w:noWrap/>
                  <w:vAlign w:val="bottom"/>
                  <w:hideMark/>
                </w:tcPr>
                <w:p w:rsidR="00821F61" w:rsidRPr="009D4115" w:rsidRDefault="00821F61" w:rsidP="00D45803">
                  <w:pPr>
                    <w:jc w:val="left"/>
                    <w:rPr>
                      <w:rFonts w:eastAsia="Times New Roman" w:cs="Arial"/>
                      <w:color w:val="000000"/>
                      <w:szCs w:val="19"/>
                      <w:lang w:val="en-US" w:eastAsia="de-DE"/>
                    </w:rPr>
                  </w:pPr>
                  <w:r w:rsidRPr="009D4115">
                    <w:rPr>
                      <w:rFonts w:eastAsia="Times New Roman" w:cs="Arial"/>
                      <w:color w:val="000000"/>
                      <w:lang w:val="en-US"/>
                    </w:rPr>
                    <w:t>Group gross profit</w:t>
                  </w:r>
                </w:p>
              </w:tc>
              <w:tc>
                <w:tcPr>
                  <w:tcW w:w="1984" w:type="dxa"/>
                  <w:noWrap/>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115,887</w:t>
                  </w:r>
                </w:p>
              </w:tc>
              <w:tc>
                <w:tcPr>
                  <w:tcW w:w="1701" w:type="dxa"/>
                  <w:noWrap/>
                  <w:vAlign w:val="bottom"/>
                  <w:hideMark/>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122,299</w:t>
                  </w:r>
                </w:p>
              </w:tc>
              <w:tc>
                <w:tcPr>
                  <w:tcW w:w="1701" w:type="dxa"/>
                  <w:vAlign w:val="bottom"/>
                </w:tcPr>
                <w:p w:rsidR="00821F61" w:rsidRPr="009D4115" w:rsidRDefault="00821F61" w:rsidP="00821F61">
                  <w:pPr>
                    <w:jc w:val="right"/>
                    <w:rPr>
                      <w:rFonts w:eastAsia="Times New Roman" w:cs="Arial"/>
                      <w:szCs w:val="19"/>
                      <w:lang w:val="en-US" w:eastAsia="de-DE"/>
                    </w:rPr>
                  </w:pPr>
                  <w:r w:rsidRPr="009D4115">
                    <w:rPr>
                      <w:rFonts w:eastAsia="Times New Roman" w:cs="Arial"/>
                      <w:color w:val="000000"/>
                      <w:lang w:val="en-US"/>
                    </w:rPr>
                    <w:t>183,059</w:t>
                  </w:r>
                </w:p>
              </w:tc>
            </w:tr>
          </w:tbl>
          <w:p w:rsidR="006779EB" w:rsidRPr="009D4115" w:rsidRDefault="006779EB" w:rsidP="006779EB">
            <w:pPr>
              <w:spacing w:line="360" w:lineRule="auto"/>
              <w:jc w:val="left"/>
              <w:rPr>
                <w:b/>
                <w:caps/>
                <w:sz w:val="22"/>
                <w:lang w:val="en-US"/>
              </w:rPr>
            </w:pPr>
          </w:p>
        </w:tc>
      </w:tr>
      <w:tr w:rsidR="00AA3DD5" w:rsidRPr="009D4115" w:rsidTr="00E16161">
        <w:trPr>
          <w:trHeight w:val="2001"/>
        </w:trPr>
        <w:tc>
          <w:tcPr>
            <w:tcW w:w="9356" w:type="dxa"/>
            <w:tcMar>
              <w:top w:w="0" w:type="dxa"/>
              <w:left w:w="0" w:type="dxa"/>
              <w:bottom w:w="0" w:type="dxa"/>
              <w:right w:w="284" w:type="dxa"/>
            </w:tcMar>
          </w:tcPr>
          <w:p w:rsidR="00721ADA" w:rsidRPr="009D4115" w:rsidRDefault="00721ADA" w:rsidP="00200130">
            <w:pPr>
              <w:rPr>
                <w:b/>
                <w:sz w:val="14"/>
                <w:szCs w:val="14"/>
                <w:lang w:val="en-US"/>
              </w:rPr>
            </w:pPr>
          </w:p>
          <w:p w:rsidR="00721ADA" w:rsidRPr="009D4115" w:rsidRDefault="00721ADA" w:rsidP="00200130">
            <w:pPr>
              <w:rPr>
                <w:b/>
                <w:sz w:val="14"/>
                <w:szCs w:val="14"/>
                <w:lang w:val="en-US"/>
              </w:rPr>
            </w:pPr>
          </w:p>
          <w:p w:rsidR="00721ADA" w:rsidRDefault="00721ADA"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p>
          <w:p w:rsidR="00061A08" w:rsidRDefault="00061A08" w:rsidP="00200130">
            <w:pPr>
              <w:rPr>
                <w:b/>
                <w:sz w:val="14"/>
                <w:szCs w:val="14"/>
                <w:lang w:val="en-US"/>
              </w:rPr>
            </w:pPr>
            <w:bookmarkStart w:id="0" w:name="_GoBack"/>
            <w:bookmarkEnd w:id="0"/>
          </w:p>
          <w:p w:rsidR="00AD2236" w:rsidRPr="009D4115" w:rsidRDefault="00AD2236" w:rsidP="00200130">
            <w:pPr>
              <w:rPr>
                <w:b/>
                <w:sz w:val="14"/>
                <w:szCs w:val="14"/>
                <w:lang w:val="en-US"/>
              </w:rPr>
            </w:pPr>
          </w:p>
          <w:p w:rsidR="00DB6801" w:rsidRPr="009D4115" w:rsidRDefault="00DB6801" w:rsidP="00DB6801">
            <w:pPr>
              <w:rPr>
                <w:b/>
                <w:sz w:val="14"/>
                <w:szCs w:val="14"/>
                <w:lang w:val="en-US"/>
              </w:rPr>
            </w:pPr>
            <w:r w:rsidRPr="009D4115">
              <w:rPr>
                <w:rFonts w:cs="Arial"/>
                <w:b/>
                <w:color w:val="000000"/>
                <w:sz w:val="14"/>
                <w:lang w:val="en-US"/>
              </w:rPr>
              <w:t>About CHG-MERIDIAN</w:t>
            </w:r>
          </w:p>
          <w:p w:rsidR="00DB6801" w:rsidRPr="009D4115" w:rsidRDefault="00DB6801" w:rsidP="00DB6801">
            <w:pPr>
              <w:rPr>
                <w:sz w:val="14"/>
                <w:szCs w:val="14"/>
                <w:lang w:val="en-US"/>
              </w:rPr>
            </w:pPr>
          </w:p>
          <w:p w:rsidR="00DB6801" w:rsidRPr="009D4115" w:rsidRDefault="00DB6801" w:rsidP="00DB6801">
            <w:pPr>
              <w:rPr>
                <w:sz w:val="14"/>
                <w:szCs w:val="14"/>
                <w:lang w:val="en-US"/>
              </w:rPr>
            </w:pPr>
            <w:r w:rsidRPr="009D4115">
              <w:rPr>
                <w:rFonts w:cs="Arial"/>
                <w:color w:val="000000"/>
                <w:sz w:val="14"/>
                <w:lang w:val="en-US"/>
              </w:rPr>
              <w:t>CHG-MERIDIAN is one of the world's leading non-captive providers of technology management in the fields of IT, industry, and healthcare. The Company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11,000 customers around the world and manages technology investments in excess of €4.4 billion. TESMA</w:t>
            </w:r>
            <w:r w:rsidRPr="009D4115">
              <w:rPr>
                <w:rFonts w:cs="Arial"/>
                <w:color w:val="000000"/>
                <w:sz w:val="14"/>
                <w:vertAlign w:val="superscript"/>
                <w:lang w:val="en-US"/>
              </w:rPr>
              <w:t>®</w:t>
            </w:r>
            <w:r w:rsidRPr="009D4115">
              <w:rPr>
                <w:rFonts w:cs="Arial"/>
                <w:color w:val="000000"/>
                <w:sz w:val="14"/>
                <w:lang w:val="en-US"/>
              </w:rPr>
              <w:t>, an online technology and service management system, ensures maximum transparency in managing technology portfolios and has more than 10,000 users. The Company has a global presence with 36 sites in 23 countries and is headquartered in Weingarten, southern Germany.</w:t>
            </w:r>
          </w:p>
          <w:p w:rsidR="00DB6801" w:rsidRPr="009D4115" w:rsidRDefault="00DB6801" w:rsidP="00DB6801">
            <w:pPr>
              <w:rPr>
                <w:sz w:val="14"/>
                <w:szCs w:val="14"/>
                <w:lang w:val="en-US"/>
              </w:rPr>
            </w:pPr>
          </w:p>
          <w:p w:rsidR="00DB6801" w:rsidRPr="009D4115" w:rsidRDefault="00DB6801" w:rsidP="00DB6801">
            <w:pPr>
              <w:rPr>
                <w:lang w:val="en-US"/>
              </w:rPr>
            </w:pPr>
            <w:r w:rsidRPr="009D4115">
              <w:rPr>
                <w:rFonts w:cs="Arial"/>
                <w:color w:val="000000"/>
                <w:sz w:val="14"/>
                <w:lang w:val="en-US"/>
              </w:rPr>
              <w:t>Efficient Technology Management</w:t>
            </w:r>
            <w:r w:rsidRPr="009D4115">
              <w:rPr>
                <w:rFonts w:cs="Arial"/>
                <w:color w:val="000000"/>
                <w:sz w:val="14"/>
                <w:vertAlign w:val="superscript"/>
                <w:lang w:val="en-US"/>
              </w:rPr>
              <w:t>®</w:t>
            </w:r>
          </w:p>
          <w:p w:rsidR="00AA3DD5" w:rsidRPr="009D4115" w:rsidRDefault="00200130" w:rsidP="00200130">
            <w:pPr>
              <w:rPr>
                <w:rFonts w:cs="Arial"/>
                <w:noProof/>
                <w:lang w:val="en-US"/>
              </w:rPr>
            </w:pPr>
            <w:r w:rsidRPr="009D4115">
              <w:rPr>
                <w:rFonts w:cs="Arial"/>
                <w:b/>
                <w:color w:val="000000"/>
                <w:sz w:val="14"/>
                <w:lang w:val="en-US"/>
              </w:rPr>
              <w:t xml:space="preserve"> </w:t>
            </w:r>
          </w:p>
        </w:tc>
      </w:tr>
    </w:tbl>
    <w:p w:rsidR="00E74574" w:rsidRPr="009D4115" w:rsidRDefault="00E74574">
      <w:pPr>
        <w:rPr>
          <w:lang w:val="en-US"/>
        </w:rPr>
      </w:pPr>
    </w:p>
    <w:sectPr w:rsidR="00E74574" w:rsidRPr="009D4115" w:rsidSect="00566BCE">
      <w:headerReference w:type="default" r:id="rId11"/>
      <w:footerReference w:type="default" r:id="rId12"/>
      <w:headerReference w:type="first" r:id="rId13"/>
      <w:footerReference w:type="first" r:id="rId14"/>
      <w:pgSz w:w="11907" w:h="16840" w:code="9"/>
      <w:pgMar w:top="1701" w:right="397" w:bottom="1531" w:left="1304" w:header="680" w:footer="964" w:gutter="0"/>
      <w:paperSrc w:first="279" w:other="279"/>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CF" w:rsidRDefault="00FC26CF" w:rsidP="003E4F4F">
      <w:r>
        <w:separator/>
      </w:r>
    </w:p>
  </w:endnote>
  <w:endnote w:type="continuationSeparator" w:id="0">
    <w:p w:rsidR="00FC26CF" w:rsidRDefault="00FC26CF"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B" w:rsidRDefault="005A0E0B">
    <w:pPr>
      <w:pStyle w:val="Fuzeile"/>
    </w:pPr>
    <w:r>
      <w:rPr>
        <w:rFonts w:cs="Arial"/>
        <w:noProof/>
        <w:lang w:val="de-DE" w:eastAsia="de-DE"/>
      </w:rPr>
      <w:drawing>
        <wp:anchor distT="0" distB="0" distL="114300" distR="114300" simplePos="0" relativeHeight="251660288" behindDoc="0" locked="0" layoutInCell="1" allowOverlap="1" wp14:anchorId="256CB3B5" wp14:editId="5636EF6F">
          <wp:simplePos x="0" y="0"/>
          <wp:positionH relativeFrom="column">
            <wp:posOffset>-819150</wp:posOffset>
          </wp:positionH>
          <wp:positionV relativeFrom="paragraph">
            <wp:posOffset>-86360</wp:posOffset>
          </wp:positionV>
          <wp:extent cx="6480810" cy="8147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B" w:rsidRDefault="005A0E0B">
    <w:pPr>
      <w:pStyle w:val="Fuzeile"/>
    </w:pPr>
    <w:r>
      <w:rPr>
        <w:rFonts w:cs="Arial"/>
        <w:noProof/>
        <w:lang w:val="de-DE" w:eastAsia="de-DE"/>
      </w:rPr>
      <w:drawing>
        <wp:anchor distT="0" distB="0" distL="114300" distR="114300" simplePos="0" relativeHeight="251658240" behindDoc="0" locked="0" layoutInCell="1" allowOverlap="1">
          <wp:simplePos x="0" y="0"/>
          <wp:positionH relativeFrom="column">
            <wp:posOffset>-808990</wp:posOffset>
          </wp:positionH>
          <wp:positionV relativeFrom="paragraph">
            <wp:posOffset>-84455</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CF" w:rsidRDefault="00FC26CF" w:rsidP="003E4F4F">
      <w:r>
        <w:separator/>
      </w:r>
    </w:p>
  </w:footnote>
  <w:footnote w:type="continuationSeparator" w:id="0">
    <w:p w:rsidR="00FC26CF" w:rsidRDefault="00FC26CF"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A0E0B" w:rsidRPr="004B239B" w:rsidTr="0022572B">
      <w:trPr>
        <w:trHeight w:val="794"/>
      </w:trPr>
      <w:tc>
        <w:tcPr>
          <w:tcW w:w="8079" w:type="dxa"/>
          <w:tcMar>
            <w:top w:w="0" w:type="dxa"/>
            <w:left w:w="0" w:type="dxa"/>
            <w:bottom w:w="0" w:type="dxa"/>
            <w:right w:w="0" w:type="dxa"/>
          </w:tcMar>
        </w:tcPr>
        <w:p w:rsidR="005A0E0B" w:rsidRPr="004C79EB" w:rsidRDefault="005A0E0B" w:rsidP="00566BCE">
          <w:pPr>
            <w:spacing w:line="180" w:lineRule="exact"/>
            <w:rPr>
              <w:rFonts w:cs="Arial"/>
              <w:noProof/>
              <w:sz w:val="14"/>
              <w:szCs w:val="14"/>
            </w:rPr>
          </w:pPr>
          <w:r>
            <w:rPr>
              <w:rFonts w:cs="Arial"/>
              <w:color w:val="000000"/>
              <w:sz w:val="14"/>
            </w:rPr>
            <w:t xml:space="preserve">Page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061A08">
            <w:rPr>
              <w:rFonts w:cs="Arial"/>
              <w:noProof/>
              <w:sz w:val="14"/>
              <w:szCs w:val="14"/>
            </w:rPr>
            <w:t>3</w:t>
          </w:r>
          <w:r w:rsidRPr="004C79EB">
            <w:rPr>
              <w:rFonts w:cs="Arial"/>
            </w:rPr>
            <w:fldChar w:fldCharType="end"/>
          </w:r>
          <w:r>
            <w:rPr>
              <w:rFonts w:cs="Arial"/>
              <w:color w:val="000000"/>
              <w:sz w:val="14"/>
            </w:rPr>
            <w:t xml:space="preserve"> of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061A08">
            <w:rPr>
              <w:rFonts w:cs="Arial"/>
              <w:noProof/>
              <w:sz w:val="14"/>
              <w:szCs w:val="14"/>
            </w:rPr>
            <w:t>3</w:t>
          </w:r>
          <w:r w:rsidRPr="004C79EB">
            <w:rPr>
              <w:rFonts w:cs="Arial"/>
            </w:rPr>
            <w:fldChar w:fldCharType="end"/>
          </w:r>
        </w:p>
        <w:p w:rsidR="005A0E0B" w:rsidRPr="004B239B" w:rsidRDefault="005A0E0B" w:rsidP="00566BCE">
          <w:pPr>
            <w:pStyle w:val="berschrift2"/>
            <w:keepLines w:val="0"/>
            <w:spacing w:after="0"/>
            <w:outlineLvl w:val="1"/>
          </w:pPr>
        </w:p>
      </w:tc>
      <w:tc>
        <w:tcPr>
          <w:tcW w:w="2126" w:type="dxa"/>
          <w:tcMar>
            <w:top w:w="0" w:type="dxa"/>
            <w:left w:w="0" w:type="dxa"/>
            <w:bottom w:w="0" w:type="dxa"/>
            <w:right w:w="0" w:type="dxa"/>
          </w:tcMar>
        </w:tcPr>
        <w:p w:rsidR="005A0E0B" w:rsidRPr="004B239B" w:rsidRDefault="005A0E0B" w:rsidP="00566BCE">
          <w:pPr>
            <w:jc w:val="left"/>
          </w:pPr>
          <w:r>
            <w:rPr>
              <w:rFonts w:cs="Arial"/>
              <w:noProof/>
              <w:color w:val="000000"/>
              <w:lang w:val="de-DE" w:eastAsia="de-DE"/>
            </w:rPr>
            <w:drawing>
              <wp:inline distT="0" distB="0" distL="0" distR="0" wp14:anchorId="1C8233C7" wp14:editId="4A091FCD">
                <wp:extent cx="943200" cy="324000"/>
                <wp:effectExtent l="0" t="0" r="0" b="0"/>
                <wp:docPr id="2"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A0E0B" w:rsidRDefault="005A0E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A0E0B" w:rsidRPr="004B239B" w:rsidTr="004B239B">
      <w:trPr>
        <w:trHeight w:val="794"/>
      </w:trPr>
      <w:tc>
        <w:tcPr>
          <w:tcW w:w="8079" w:type="dxa"/>
          <w:tcMar>
            <w:top w:w="0" w:type="dxa"/>
            <w:left w:w="0" w:type="dxa"/>
            <w:bottom w:w="0" w:type="dxa"/>
            <w:right w:w="0" w:type="dxa"/>
          </w:tcMar>
        </w:tcPr>
        <w:p w:rsidR="005A0E0B" w:rsidRPr="004B239B" w:rsidRDefault="005A0E0B" w:rsidP="00566BCE">
          <w:pPr>
            <w:pStyle w:val="Titel"/>
          </w:pPr>
          <w:r>
            <w:rPr>
              <w:rFonts w:cs="Arial"/>
            </w:rPr>
            <w:t>Press Release</w:t>
          </w:r>
        </w:p>
      </w:tc>
      <w:tc>
        <w:tcPr>
          <w:tcW w:w="2126" w:type="dxa"/>
          <w:tcMar>
            <w:top w:w="0" w:type="dxa"/>
            <w:left w:w="0" w:type="dxa"/>
            <w:bottom w:w="0" w:type="dxa"/>
            <w:right w:w="0" w:type="dxa"/>
          </w:tcMar>
        </w:tcPr>
        <w:p w:rsidR="005A0E0B" w:rsidRPr="004B239B" w:rsidRDefault="005A0E0B" w:rsidP="004B239B">
          <w:pPr>
            <w:jc w:val="left"/>
          </w:pPr>
          <w:r>
            <w:rPr>
              <w:rFonts w:cs="Arial"/>
              <w:noProof/>
              <w:color w:val="000000"/>
              <w:lang w:val="de-DE" w:eastAsia="de-DE"/>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A0E0B" w:rsidRDefault="005A0E0B"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61A08"/>
    <w:rsid w:val="00071754"/>
    <w:rsid w:val="000733A9"/>
    <w:rsid w:val="000B3AF2"/>
    <w:rsid w:val="000D12FA"/>
    <w:rsid w:val="000E03AB"/>
    <w:rsid w:val="00111396"/>
    <w:rsid w:val="00135EF9"/>
    <w:rsid w:val="00137A87"/>
    <w:rsid w:val="00183D81"/>
    <w:rsid w:val="001843FD"/>
    <w:rsid w:val="00195A05"/>
    <w:rsid w:val="00196EC6"/>
    <w:rsid w:val="001D78E7"/>
    <w:rsid w:val="001E2E86"/>
    <w:rsid w:val="001F20B0"/>
    <w:rsid w:val="00200130"/>
    <w:rsid w:val="00207023"/>
    <w:rsid w:val="00212492"/>
    <w:rsid w:val="0022572B"/>
    <w:rsid w:val="002A1BB4"/>
    <w:rsid w:val="002D54AF"/>
    <w:rsid w:val="002E64A0"/>
    <w:rsid w:val="00305F30"/>
    <w:rsid w:val="00316E05"/>
    <w:rsid w:val="0037598B"/>
    <w:rsid w:val="00396840"/>
    <w:rsid w:val="003B6787"/>
    <w:rsid w:val="003E4E09"/>
    <w:rsid w:val="003E4F4F"/>
    <w:rsid w:val="00402F61"/>
    <w:rsid w:val="00423CD4"/>
    <w:rsid w:val="00424E10"/>
    <w:rsid w:val="00430FC5"/>
    <w:rsid w:val="00454F4F"/>
    <w:rsid w:val="0049117B"/>
    <w:rsid w:val="00492B12"/>
    <w:rsid w:val="004B239B"/>
    <w:rsid w:val="004C79EB"/>
    <w:rsid w:val="004D3192"/>
    <w:rsid w:val="0050390E"/>
    <w:rsid w:val="0051006F"/>
    <w:rsid w:val="00547CF9"/>
    <w:rsid w:val="00554238"/>
    <w:rsid w:val="00566BCE"/>
    <w:rsid w:val="005A0E0B"/>
    <w:rsid w:val="005C6B36"/>
    <w:rsid w:val="005E46B1"/>
    <w:rsid w:val="00607BCD"/>
    <w:rsid w:val="0061248D"/>
    <w:rsid w:val="00631264"/>
    <w:rsid w:val="00636ECB"/>
    <w:rsid w:val="00637462"/>
    <w:rsid w:val="0064269A"/>
    <w:rsid w:val="006779EB"/>
    <w:rsid w:val="006A2518"/>
    <w:rsid w:val="006A61DF"/>
    <w:rsid w:val="00705AD7"/>
    <w:rsid w:val="00721ADA"/>
    <w:rsid w:val="00776FEC"/>
    <w:rsid w:val="00790533"/>
    <w:rsid w:val="007C5852"/>
    <w:rsid w:val="007C5F89"/>
    <w:rsid w:val="007D71AC"/>
    <w:rsid w:val="007E3EA6"/>
    <w:rsid w:val="00821F61"/>
    <w:rsid w:val="00823064"/>
    <w:rsid w:val="00861E23"/>
    <w:rsid w:val="00866736"/>
    <w:rsid w:val="0087331B"/>
    <w:rsid w:val="0088563B"/>
    <w:rsid w:val="008B40D2"/>
    <w:rsid w:val="008C42B2"/>
    <w:rsid w:val="00935EB9"/>
    <w:rsid w:val="009975EA"/>
    <w:rsid w:val="009A6AFE"/>
    <w:rsid w:val="009A703D"/>
    <w:rsid w:val="009D30C4"/>
    <w:rsid w:val="009D3175"/>
    <w:rsid w:val="009D4115"/>
    <w:rsid w:val="00A01D16"/>
    <w:rsid w:val="00A3140C"/>
    <w:rsid w:val="00A71665"/>
    <w:rsid w:val="00AA3DD5"/>
    <w:rsid w:val="00AD2236"/>
    <w:rsid w:val="00B3580B"/>
    <w:rsid w:val="00B7094D"/>
    <w:rsid w:val="00B72201"/>
    <w:rsid w:val="00BC5EA4"/>
    <w:rsid w:val="00C16AE2"/>
    <w:rsid w:val="00C262D1"/>
    <w:rsid w:val="00C34BA7"/>
    <w:rsid w:val="00C53357"/>
    <w:rsid w:val="00C5515E"/>
    <w:rsid w:val="00C77607"/>
    <w:rsid w:val="00C81737"/>
    <w:rsid w:val="00C96EAA"/>
    <w:rsid w:val="00D1668A"/>
    <w:rsid w:val="00D42E63"/>
    <w:rsid w:val="00D45803"/>
    <w:rsid w:val="00D86455"/>
    <w:rsid w:val="00D91F94"/>
    <w:rsid w:val="00D922A8"/>
    <w:rsid w:val="00DA25C5"/>
    <w:rsid w:val="00DB6801"/>
    <w:rsid w:val="00DD5E91"/>
    <w:rsid w:val="00DD6CA2"/>
    <w:rsid w:val="00DD7493"/>
    <w:rsid w:val="00DE0477"/>
    <w:rsid w:val="00E03C28"/>
    <w:rsid w:val="00E16161"/>
    <w:rsid w:val="00E42D78"/>
    <w:rsid w:val="00E450E6"/>
    <w:rsid w:val="00E62FE0"/>
    <w:rsid w:val="00E6646D"/>
    <w:rsid w:val="00E71BD9"/>
    <w:rsid w:val="00E74574"/>
    <w:rsid w:val="00E75E36"/>
    <w:rsid w:val="00E86670"/>
    <w:rsid w:val="00E950B0"/>
    <w:rsid w:val="00E96A23"/>
    <w:rsid w:val="00EA583C"/>
    <w:rsid w:val="00EA74FA"/>
    <w:rsid w:val="00EB106D"/>
    <w:rsid w:val="00EB51FA"/>
    <w:rsid w:val="00EB5AEE"/>
    <w:rsid w:val="00EC1B30"/>
    <w:rsid w:val="00F05E79"/>
    <w:rsid w:val="00F22DA4"/>
    <w:rsid w:val="00F342E4"/>
    <w:rsid w:val="00F5333E"/>
    <w:rsid w:val="00F85A1C"/>
    <w:rsid w:val="00FB602A"/>
    <w:rsid w:val="00FC26CF"/>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nhideWhenUsed="0"/>
    <w:lsdException w:name="List 4" w:unhideWhenUsed="0"/>
    <w:lsdException w:name="List 5" w:unhideWhenUsed="0"/>
    <w:lsdException w:name="List Bullet 2" w:semiHidden="0"/>
    <w:lsdException w:name="Title" w:semiHidden="0" w:uiPriority="10" w:unhideWhenUsed="0" w:qFormat="1"/>
    <w:lsdException w:name="Default Paragraph Font" w:uiPriority="1"/>
    <w:lsdException w:name="List Continue" w:semiHidden="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nhideWhenUsed="0"/>
    <w:lsdException w:name="List 4" w:unhideWhenUsed="0"/>
    <w:lsdException w:name="List 5" w:unhideWhenUsed="0"/>
    <w:lsdException w:name="List Bullet 2" w:semiHidden="0"/>
    <w:lsdException w:name="Title" w:semiHidden="0" w:uiPriority="10" w:unhideWhenUsed="0" w:qFormat="1"/>
    <w:lsdException w:name="Default Paragraph Font" w:uiPriority="1"/>
    <w:lsdException w:name="List Continue" w:semiHidden="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g-meridian.com" TargetMode="External"/><Relationship Id="rId4" Type="http://schemas.microsoft.com/office/2007/relationships/stylesWithEffects" Target="stylesWithEffects.xml"/><Relationship Id="rId9" Type="http://schemas.openxmlformats.org/officeDocument/2006/relationships/hyperlink" Target="mailto:matthias.steybe@ch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79E82E6-470F-4F44-B6E9-1BF75F09C5C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5263</Characters>
  <Application>Microsoft Office Word</Application>
  <DocSecurity>0</DocSecurity>
  <Lines>239</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Philipp Wohlfarth</cp:lastModifiedBy>
  <cp:revision>4</cp:revision>
  <cp:lastPrinted>2016-10-24T14:20:00Z</cp:lastPrinted>
  <dcterms:created xsi:type="dcterms:W3CDTF">2016-10-26T09:26:00Z</dcterms:created>
  <dcterms:modified xsi:type="dcterms:W3CDTF">2016-10-26T11:37:00Z</dcterms:modified>
</cp:coreProperties>
</file>